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b/>
          <w:color w:val="auto"/>
          <w:sz w:val="52"/>
          <w:szCs w:val="52"/>
          <w:highlight w:val="none"/>
        </w:rPr>
      </w:pPr>
    </w:p>
    <w:p>
      <w:pPr>
        <w:keepNext w:val="0"/>
        <w:keepLines w:val="0"/>
        <w:pageBreakBefore w:val="0"/>
        <w:widowControl w:val="0"/>
        <w:kinsoku/>
        <w:wordWrap/>
        <w:overflowPunct/>
        <w:topLinePunct w:val="0"/>
        <w:autoSpaceDE/>
        <w:autoSpaceDN/>
        <w:bidi w:val="0"/>
        <w:adjustRightInd/>
        <w:snapToGrid w:val="0"/>
        <w:spacing w:line="480" w:lineRule="auto"/>
        <w:ind w:firstLine="0" w:firstLineChars="0"/>
        <w:jc w:val="center"/>
        <w:textAlignment w:val="auto"/>
        <w:rPr>
          <w:rFonts w:hint="eastAsia" w:cs="Times New Roman"/>
          <w:b/>
          <w:color w:val="auto"/>
          <w:sz w:val="44"/>
          <w:szCs w:val="44"/>
          <w:highlight w:val="none"/>
          <w:lang w:val="en-US" w:eastAsia="zh-CN"/>
        </w:rPr>
      </w:pPr>
      <w:r>
        <w:rPr>
          <w:rFonts w:hint="eastAsia" w:cs="Times New Roman"/>
          <w:b/>
          <w:color w:val="auto"/>
          <w:sz w:val="44"/>
          <w:szCs w:val="44"/>
          <w:highlight w:val="none"/>
          <w:lang w:val="en-US" w:eastAsia="zh-CN"/>
        </w:rPr>
        <w:t>宁波油港轮驳有限公司</w:t>
      </w:r>
    </w:p>
    <w:p>
      <w:pPr>
        <w:keepNext w:val="0"/>
        <w:keepLines w:val="0"/>
        <w:pageBreakBefore w:val="0"/>
        <w:widowControl w:val="0"/>
        <w:kinsoku/>
        <w:wordWrap/>
        <w:overflowPunct/>
        <w:topLinePunct w:val="0"/>
        <w:autoSpaceDE/>
        <w:autoSpaceDN/>
        <w:bidi w:val="0"/>
        <w:adjustRightInd/>
        <w:snapToGrid w:val="0"/>
        <w:spacing w:line="480" w:lineRule="auto"/>
        <w:ind w:firstLine="0" w:firstLineChars="0"/>
        <w:jc w:val="center"/>
        <w:textAlignment w:val="auto"/>
        <w:rPr>
          <w:rFonts w:hint="default" w:ascii="Times New Roman" w:hAnsi="Times New Roman" w:eastAsia="宋体" w:cs="Times New Roman"/>
          <w:b/>
          <w:color w:val="auto"/>
          <w:sz w:val="44"/>
          <w:szCs w:val="44"/>
          <w:highlight w:val="none"/>
          <w:lang w:val="en-US" w:eastAsia="zh-CN"/>
        </w:rPr>
      </w:pPr>
      <w:r>
        <w:rPr>
          <w:rFonts w:hint="eastAsia" w:eastAsia="黑体"/>
          <w:color w:val="auto"/>
          <w:sz w:val="44"/>
          <w:highlight w:val="none"/>
          <w:lang w:eastAsia="zh-CN"/>
        </w:rPr>
        <w:t>【</w:t>
      </w:r>
      <w:r>
        <w:rPr>
          <w:rFonts w:hint="eastAsia" w:eastAsia="黑体"/>
          <w:color w:val="auto"/>
          <w:sz w:val="44"/>
          <w:highlight w:val="none"/>
          <w:lang w:val="en-US" w:eastAsia="zh-CN"/>
        </w:rPr>
        <w:t>甬港拖33</w:t>
      </w:r>
      <w:r>
        <w:rPr>
          <w:rFonts w:hint="eastAsia" w:eastAsia="黑体"/>
          <w:color w:val="auto"/>
          <w:sz w:val="44"/>
          <w:highlight w:val="none"/>
          <w:lang w:eastAsia="zh-CN"/>
        </w:rPr>
        <w:t>】</w:t>
      </w:r>
      <w:r>
        <w:rPr>
          <w:rFonts w:hint="eastAsia" w:eastAsia="黑体"/>
          <w:color w:val="auto"/>
          <w:sz w:val="44"/>
          <w:highlight w:val="none"/>
          <w:lang w:val="en-US" w:eastAsia="zh-CN"/>
        </w:rPr>
        <w:t>轮修理</w:t>
      </w:r>
      <w:r>
        <w:rPr>
          <w:rFonts w:hint="default" w:ascii="Times New Roman" w:hAnsi="Times New Roman" w:cs="Times New Roman"/>
          <w:b/>
          <w:color w:val="auto"/>
          <w:sz w:val="44"/>
          <w:szCs w:val="44"/>
          <w:highlight w:val="none"/>
          <w:lang w:val="en-US" w:eastAsia="zh-CN"/>
        </w:rPr>
        <w:t>项目</w:t>
      </w:r>
      <w:r>
        <w:rPr>
          <w:rFonts w:hint="eastAsia" w:cs="Times New Roman"/>
          <w:b/>
          <w:color w:val="auto"/>
          <w:sz w:val="44"/>
          <w:szCs w:val="44"/>
          <w:highlight w:val="none"/>
          <w:lang w:val="en-US" w:eastAsia="zh-CN"/>
        </w:rPr>
        <w:t>（2026年度）</w:t>
      </w:r>
    </w:p>
    <w:p>
      <w:pPr>
        <w:keepNext w:val="0"/>
        <w:keepLines w:val="0"/>
        <w:pageBreakBefore w:val="0"/>
        <w:widowControl w:val="0"/>
        <w:kinsoku/>
        <w:wordWrap/>
        <w:overflowPunct/>
        <w:topLinePunct w:val="0"/>
        <w:autoSpaceDE/>
        <w:autoSpaceDN/>
        <w:bidi w:val="0"/>
        <w:adjustRightInd/>
        <w:snapToGrid w:val="0"/>
        <w:spacing w:line="480" w:lineRule="auto"/>
        <w:ind w:firstLine="0" w:firstLineChars="0"/>
        <w:jc w:val="center"/>
        <w:textAlignment w:val="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t>招标文件</w:t>
      </w:r>
    </w:p>
    <w:p>
      <w:pPr>
        <w:spacing w:line="360" w:lineRule="auto"/>
        <w:jc w:val="center"/>
        <w:rPr>
          <w:rFonts w:hint="default" w:ascii="Times New Roman" w:hAnsi="Times New Roman" w:cs="Times New Roman"/>
          <w:b/>
          <w:color w:val="auto"/>
          <w:sz w:val="52"/>
          <w:szCs w:val="52"/>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color w:val="auto"/>
          <w:sz w:val="44"/>
          <w:szCs w:val="44"/>
          <w:highlight w:val="none"/>
          <w:lang w:val="en-US" w:eastAsia="zh-CN"/>
        </w:rPr>
      </w:pPr>
      <w:r>
        <w:rPr>
          <w:rFonts w:hint="default" w:ascii="Times New Roman" w:hAnsi="Times New Roman" w:cs="Times New Roman"/>
          <w:b/>
          <w:color w:val="auto"/>
          <w:sz w:val="44"/>
          <w:szCs w:val="44"/>
          <w:highlight w:val="none"/>
        </w:rPr>
        <w:t>招标编号：</w:t>
      </w:r>
      <w:r>
        <w:rPr>
          <w:rFonts w:hint="eastAsia" w:cs="Times New Roman"/>
          <w:b/>
          <w:color w:val="auto"/>
          <w:sz w:val="44"/>
          <w:szCs w:val="44"/>
          <w:highlight w:val="none"/>
          <w:lang w:val="en-US" w:eastAsia="zh-CN"/>
        </w:rPr>
        <w:t xml:space="preserve">   </w:t>
      </w:r>
    </w:p>
    <w:p>
      <w:pPr>
        <w:snapToGrid w:val="0"/>
        <w:spacing w:before="156" w:beforeLines="50" w:line="360" w:lineRule="auto"/>
        <w:rPr>
          <w:rFonts w:hint="default" w:ascii="Times New Roman" w:hAnsi="Times New Roman" w:cs="Times New Roman"/>
          <w:b/>
          <w:color w:val="auto"/>
          <w:sz w:val="30"/>
          <w:szCs w:val="72"/>
          <w:highlight w:val="none"/>
        </w:rPr>
      </w:pPr>
    </w:p>
    <w:p>
      <w:pPr>
        <w:snapToGrid w:val="0"/>
        <w:spacing w:before="156" w:beforeLines="50" w:line="360" w:lineRule="auto"/>
        <w:ind w:left="0" w:leftChars="0" w:firstLine="0" w:firstLineChars="0"/>
        <w:rPr>
          <w:rFonts w:hint="default" w:ascii="Times New Roman" w:hAnsi="Times New Roman" w:cs="Times New Roman"/>
          <w:b/>
          <w:color w:val="auto"/>
          <w:sz w:val="30"/>
          <w:szCs w:val="72"/>
          <w:highlight w:val="none"/>
        </w:rPr>
      </w:pPr>
    </w:p>
    <w:p>
      <w:pPr>
        <w:pStyle w:val="3"/>
        <w:rPr>
          <w:rFonts w:hint="default" w:ascii="Times New Roman" w:hAnsi="Times New Roman" w:cs="Times New Roman"/>
          <w:b w:val="0"/>
          <w:color w:val="auto"/>
          <w:sz w:val="30"/>
          <w:szCs w:val="72"/>
          <w:highlight w:val="none"/>
        </w:rPr>
      </w:pPr>
    </w:p>
    <w:p>
      <w:pPr>
        <w:rPr>
          <w:rFonts w:hint="default"/>
          <w:color w:val="auto"/>
          <w:highlight w:val="none"/>
        </w:rPr>
      </w:pPr>
    </w:p>
    <w:p>
      <w:pPr>
        <w:rPr>
          <w:rFonts w:hint="default" w:ascii="Times New Roman" w:hAnsi="Times New Roman" w:cs="Times New Roman"/>
          <w:b/>
          <w:color w:val="auto"/>
          <w:sz w:val="36"/>
          <w:szCs w:val="36"/>
          <w:highlight w:val="none"/>
        </w:rPr>
      </w:pPr>
    </w:p>
    <w:p>
      <w:pPr>
        <w:keepNext w:val="0"/>
        <w:keepLines w:val="0"/>
        <w:pageBreakBefore w:val="0"/>
        <w:widowControl w:val="0"/>
        <w:kinsoku/>
        <w:wordWrap/>
        <w:overflowPunct/>
        <w:topLinePunct w:val="0"/>
        <w:autoSpaceDE/>
        <w:autoSpaceDN/>
        <w:bidi w:val="0"/>
        <w:adjustRightInd/>
        <w:snapToGrid/>
        <w:ind w:left="-141" w:leftChars="-67" w:firstLine="0" w:firstLineChars="0"/>
        <w:jc w:val="center"/>
        <w:textAlignment w:val="auto"/>
        <w:rPr>
          <w:rFonts w:hint="default" w:ascii="Times New Roman" w:hAnsi="Times New Roman" w:cs="Times New Roman"/>
          <w:b/>
          <w:color w:val="auto"/>
          <w:sz w:val="36"/>
          <w:szCs w:val="36"/>
          <w:highlight w:val="none"/>
          <w:lang w:val="en-US" w:eastAsia="zh-CN"/>
        </w:rPr>
      </w:pPr>
      <w:r>
        <w:rPr>
          <w:rFonts w:hint="default" w:ascii="Times New Roman" w:hAnsi="Times New Roman" w:cs="Times New Roman"/>
          <w:b/>
          <w:color w:val="auto"/>
          <w:sz w:val="36"/>
          <w:szCs w:val="36"/>
          <w:highlight w:val="none"/>
        </w:rPr>
        <w:t>招标人：</w:t>
      </w:r>
      <w:r>
        <w:rPr>
          <w:rFonts w:hint="eastAsia" w:cs="Times New Roman"/>
          <w:b/>
          <w:color w:val="auto"/>
          <w:sz w:val="36"/>
          <w:szCs w:val="36"/>
          <w:highlight w:val="none"/>
          <w:lang w:val="en-US" w:eastAsia="zh-CN"/>
        </w:rPr>
        <w:t>宁波油港轮驳有限公司</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color w:val="auto"/>
          <w:sz w:val="36"/>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 xml:space="preserve"> </w:t>
      </w:r>
    </w:p>
    <w:p>
      <w:pPr>
        <w:keepNext w:val="0"/>
        <w:keepLines w:val="0"/>
        <w:pageBreakBefore w:val="0"/>
        <w:widowControl w:val="0"/>
        <w:kinsoku/>
        <w:wordWrap/>
        <w:overflowPunct/>
        <w:topLinePunct w:val="0"/>
        <w:autoSpaceDE/>
        <w:autoSpaceDN/>
        <w:bidi w:val="0"/>
        <w:adjustRightInd/>
        <w:snapToGrid/>
        <w:ind w:left="359" w:leftChars="171" w:firstLine="0" w:firstLineChars="0"/>
        <w:jc w:val="center"/>
        <w:textAlignment w:val="auto"/>
        <w:rPr>
          <w:rFonts w:hint="default" w:ascii="Times New Roman" w:hAnsi="Times New Roman" w:cs="Times New Roman"/>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fmt="decimal" w:start="1"/>
          <w:cols w:space="720" w:num="1"/>
          <w:docGrid w:type="lines" w:linePitch="312" w:charSpace="0"/>
        </w:sectPr>
      </w:pPr>
      <w:r>
        <w:rPr>
          <w:rFonts w:hint="default" w:ascii="Times New Roman" w:hAnsi="Times New Roman" w:cs="Times New Roman"/>
          <w:b/>
          <w:color w:val="auto"/>
          <w:sz w:val="36"/>
          <w:szCs w:val="36"/>
          <w:highlight w:val="none"/>
          <w:lang w:eastAsia="zh-CN"/>
        </w:rPr>
        <w:t>202</w:t>
      </w:r>
      <w:r>
        <w:rPr>
          <w:rFonts w:hint="eastAsia" w:cs="Times New Roman"/>
          <w:b/>
          <w:color w:val="auto"/>
          <w:sz w:val="36"/>
          <w:szCs w:val="36"/>
          <w:highlight w:val="none"/>
          <w:lang w:val="en-US" w:eastAsia="zh-CN"/>
        </w:rPr>
        <w:t>6</w:t>
      </w:r>
      <w:r>
        <w:rPr>
          <w:rFonts w:hint="default" w:ascii="Times New Roman" w:hAnsi="Times New Roman" w:cs="Times New Roman"/>
          <w:b/>
          <w:color w:val="auto"/>
          <w:sz w:val="36"/>
          <w:szCs w:val="36"/>
          <w:highlight w:val="none"/>
        </w:rPr>
        <w:t xml:space="preserve">年 </w:t>
      </w:r>
      <w:r>
        <w:rPr>
          <w:rFonts w:hint="default" w:ascii="Times New Roman" w:hAnsi="Times New Roman" w:cs="Times New Roman"/>
          <w:b/>
          <w:color w:val="auto"/>
          <w:sz w:val="36"/>
          <w:szCs w:val="36"/>
          <w:highlight w:val="none"/>
          <w:lang w:val="en-US" w:eastAsia="zh-CN"/>
        </w:rPr>
        <w:t xml:space="preserve"> </w:t>
      </w:r>
      <w:r>
        <w:rPr>
          <w:rFonts w:hint="default" w:ascii="Times New Roman" w:hAnsi="Times New Roman" w:cs="Times New Roman"/>
          <w:b/>
          <w:color w:val="auto"/>
          <w:sz w:val="36"/>
          <w:szCs w:val="36"/>
          <w:highlight w:val="none"/>
        </w:rPr>
        <w:t>月</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目    录</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color w:val="auto"/>
          <w:sz w:val="36"/>
          <w:szCs w:val="36"/>
          <w:highlight w:val="none"/>
        </w:rPr>
      </w:pPr>
    </w:p>
    <w:p>
      <w:pPr>
        <w:pStyle w:val="14"/>
        <w:tabs>
          <w:tab w:val="right" w:leader="dot" w:pos="8390"/>
        </w:tabs>
        <w:rPr>
          <w:color w:val="auto"/>
          <w:highlight w:val="none"/>
        </w:rPr>
      </w:pPr>
      <w:r>
        <w:rPr>
          <w:rFonts w:hint="default" w:ascii="Times New Roman" w:hAnsi="Times New Roman" w:cs="Times New Roman"/>
          <w:b w:val="0"/>
          <w:color w:val="auto"/>
          <w:sz w:val="28"/>
          <w:szCs w:val="28"/>
          <w:highlight w:val="none"/>
        </w:rPr>
        <w:fldChar w:fldCharType="begin"/>
      </w:r>
      <w:r>
        <w:rPr>
          <w:rFonts w:hint="default" w:ascii="Times New Roman" w:hAnsi="Times New Roman" w:cs="Times New Roman"/>
          <w:b w:val="0"/>
          <w:color w:val="auto"/>
          <w:sz w:val="28"/>
          <w:szCs w:val="28"/>
          <w:highlight w:val="none"/>
        </w:rPr>
        <w:instrText xml:space="preserve"> TOC \o "1-1" \h \z </w:instrText>
      </w:r>
      <w:r>
        <w:rPr>
          <w:rFonts w:hint="default" w:ascii="Times New Roman" w:hAnsi="Times New Roman" w:cs="Times New Roman"/>
          <w:b w:val="0"/>
          <w:color w:val="auto"/>
          <w:sz w:val="28"/>
          <w:szCs w:val="28"/>
          <w:highlight w:val="none"/>
        </w:rPr>
        <w:fldChar w:fldCharType="separate"/>
      </w:r>
      <w:r>
        <w:rPr>
          <w:color w:val="auto"/>
          <w:highlight w:val="none"/>
        </w:rPr>
        <w:fldChar w:fldCharType="begin"/>
      </w:r>
      <w:r>
        <w:rPr>
          <w:color w:val="auto"/>
          <w:highlight w:val="none"/>
        </w:rPr>
        <w:instrText xml:space="preserve"> HYPERLINK \l "_Toc26983" </w:instrText>
      </w:r>
      <w:r>
        <w:rPr>
          <w:color w:val="auto"/>
          <w:highlight w:val="none"/>
        </w:rPr>
        <w:fldChar w:fldCharType="separate"/>
      </w:r>
      <w:r>
        <w:rPr>
          <w:rFonts w:hint="default" w:ascii="Times New Roman" w:hAnsi="Times New Roman" w:cs="Times New Roman"/>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_Toc26983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14"/>
        <w:tabs>
          <w:tab w:val="right" w:leader="dot" w:pos="8390"/>
        </w:tabs>
        <w:rPr>
          <w:color w:val="auto"/>
          <w:highlight w:val="none"/>
        </w:rPr>
      </w:pPr>
      <w:r>
        <w:rPr>
          <w:color w:val="auto"/>
          <w:highlight w:val="none"/>
        </w:rPr>
        <w:fldChar w:fldCharType="begin"/>
      </w:r>
      <w:r>
        <w:rPr>
          <w:color w:val="auto"/>
          <w:highlight w:val="none"/>
        </w:rPr>
        <w:instrText xml:space="preserve"> HYPERLINK \l "_Toc8555" </w:instrText>
      </w:r>
      <w:r>
        <w:rPr>
          <w:color w:val="auto"/>
          <w:highlight w:val="none"/>
        </w:rPr>
        <w:fldChar w:fldCharType="separate"/>
      </w:r>
      <w:r>
        <w:rPr>
          <w:rFonts w:hint="default" w:ascii="Times New Roman" w:hAnsi="Times New Roman" w:eastAsia="宋体" w:cs="Times New Roman"/>
          <w:bCs/>
          <w:color w:val="auto"/>
          <w:kern w:val="44"/>
          <w:szCs w:val="44"/>
          <w:highlight w:val="none"/>
          <w:lang w:val="en-US" w:eastAsia="zh-CN" w:bidi="ar-SA"/>
        </w:rPr>
        <w:t>第二章  招标需求</w:t>
      </w:r>
      <w:r>
        <w:rPr>
          <w:color w:val="auto"/>
          <w:highlight w:val="none"/>
        </w:rPr>
        <w:tab/>
      </w:r>
      <w:r>
        <w:rPr>
          <w:color w:val="auto"/>
          <w:highlight w:val="none"/>
        </w:rPr>
        <w:fldChar w:fldCharType="begin"/>
      </w:r>
      <w:r>
        <w:rPr>
          <w:color w:val="auto"/>
          <w:highlight w:val="none"/>
        </w:rPr>
        <w:instrText xml:space="preserve"> PAGEREF _Toc8555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14"/>
        <w:tabs>
          <w:tab w:val="right" w:leader="dot" w:pos="839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"_Toc22603" </w:instrText>
      </w:r>
      <w:r>
        <w:rPr>
          <w:color w:val="auto"/>
          <w:highlight w:val="none"/>
        </w:rPr>
        <w:fldChar w:fldCharType="separate"/>
      </w:r>
      <w:r>
        <w:rPr>
          <w:rFonts w:hint="default" w:ascii="Times New Roman" w:hAnsi="Times New Roman" w:cs="Times New Roman"/>
          <w:color w:val="auto"/>
          <w:highlight w:val="none"/>
        </w:rPr>
        <w:t>第三章  投标人须知</w:t>
      </w:r>
      <w:r>
        <w:rPr>
          <w:color w:val="auto"/>
          <w:highlight w:val="none"/>
        </w:rPr>
        <w:tab/>
      </w:r>
      <w:r>
        <w:rPr>
          <w:rFonts w:hint="eastAsia"/>
          <w:color w:val="auto"/>
          <w:highlight w:val="none"/>
          <w:lang w:val="en-US" w:eastAsia="zh-CN"/>
        </w:rPr>
        <w:t>1</w:t>
      </w:r>
      <w:r>
        <w:rPr>
          <w:rFonts w:hint="eastAsia"/>
          <w:color w:val="auto"/>
          <w:highlight w:val="none"/>
          <w:lang w:val="en-US" w:eastAsia="zh-CN"/>
        </w:rPr>
        <w:fldChar w:fldCharType="end"/>
      </w:r>
      <w:r>
        <w:rPr>
          <w:rFonts w:hint="eastAsia"/>
          <w:color w:val="auto"/>
          <w:highlight w:val="none"/>
          <w:lang w:val="en-US" w:eastAsia="zh-CN"/>
        </w:rPr>
        <w:t>6</w:t>
      </w:r>
    </w:p>
    <w:p>
      <w:pPr>
        <w:pStyle w:val="14"/>
        <w:tabs>
          <w:tab w:val="right" w:leader="dot" w:pos="839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"_Toc10133" </w:instrText>
      </w:r>
      <w:r>
        <w:rPr>
          <w:color w:val="auto"/>
          <w:highlight w:val="none"/>
        </w:rPr>
        <w:fldChar w:fldCharType="separate"/>
      </w:r>
      <w:r>
        <w:rPr>
          <w:rFonts w:hint="default" w:ascii="Times New Roman" w:hAnsi="Times New Roman" w:cs="Times New Roman"/>
          <w:color w:val="auto"/>
          <w:highlight w:val="none"/>
        </w:rPr>
        <w:t>第四章  评标办法及评分标准</w:t>
      </w:r>
      <w:r>
        <w:rPr>
          <w:color w:val="auto"/>
          <w:highlight w:val="none"/>
        </w:rPr>
        <w:tab/>
      </w:r>
      <w:r>
        <w:rPr>
          <w:rFonts w:hint="eastAsia"/>
          <w:color w:val="auto"/>
          <w:highlight w:val="none"/>
          <w:lang w:val="en-US" w:eastAsia="zh-CN"/>
        </w:rPr>
        <w:t>2</w:t>
      </w:r>
      <w:r>
        <w:rPr>
          <w:rFonts w:hint="eastAsia"/>
          <w:color w:val="auto"/>
          <w:highlight w:val="none"/>
          <w:lang w:val="en-US" w:eastAsia="zh-CN"/>
        </w:rPr>
        <w:fldChar w:fldCharType="end"/>
      </w:r>
      <w:r>
        <w:rPr>
          <w:rFonts w:hint="eastAsia"/>
          <w:color w:val="auto"/>
          <w:highlight w:val="none"/>
          <w:lang w:val="en-US" w:eastAsia="zh-CN"/>
        </w:rPr>
        <w:t>8</w:t>
      </w:r>
    </w:p>
    <w:p>
      <w:pPr>
        <w:pStyle w:val="14"/>
        <w:tabs>
          <w:tab w:val="right" w:leader="dot" w:pos="839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"_Toc27622" </w:instrText>
      </w:r>
      <w:r>
        <w:rPr>
          <w:color w:val="auto"/>
          <w:highlight w:val="none"/>
        </w:rPr>
        <w:fldChar w:fldCharType="separate"/>
      </w:r>
      <w:r>
        <w:rPr>
          <w:rFonts w:hint="default" w:ascii="Times New Roman" w:hAnsi="Times New Roman" w:cs="Times New Roman"/>
          <w:color w:val="auto"/>
          <w:highlight w:val="none"/>
        </w:rPr>
        <w:t>第五章  合同</w:t>
      </w:r>
      <w:r>
        <w:rPr>
          <w:rFonts w:hint="eastAsia" w:cs="Times New Roman"/>
          <w:color w:val="auto"/>
          <w:highlight w:val="none"/>
          <w:lang w:val="en-US" w:eastAsia="zh-CN"/>
        </w:rPr>
        <w:t>主要</w:t>
      </w:r>
      <w:r>
        <w:rPr>
          <w:rFonts w:hint="default" w:ascii="Times New Roman" w:hAnsi="Times New Roman" w:cs="Times New Roman"/>
          <w:color w:val="auto"/>
          <w:highlight w:val="none"/>
        </w:rPr>
        <w:t>条款</w:t>
      </w:r>
      <w:r>
        <w:rPr>
          <w:color w:val="auto"/>
          <w:highlight w:val="none"/>
        </w:rPr>
        <w:tab/>
      </w:r>
      <w:r>
        <w:rPr>
          <w:rFonts w:hint="eastAsia"/>
          <w:color w:val="auto"/>
          <w:highlight w:val="none"/>
          <w:lang w:val="en-US" w:eastAsia="zh-CN"/>
        </w:rPr>
        <w:t>3</w:t>
      </w:r>
      <w:r>
        <w:rPr>
          <w:rFonts w:hint="eastAsia"/>
          <w:color w:val="auto"/>
          <w:highlight w:val="none"/>
          <w:lang w:val="en-US" w:eastAsia="zh-CN"/>
        </w:rPr>
        <w:fldChar w:fldCharType="end"/>
      </w:r>
      <w:r>
        <w:rPr>
          <w:rFonts w:hint="eastAsia"/>
          <w:color w:val="auto"/>
          <w:highlight w:val="none"/>
          <w:lang w:val="en-US" w:eastAsia="zh-CN"/>
        </w:rPr>
        <w:t>5</w:t>
      </w:r>
    </w:p>
    <w:p>
      <w:pPr>
        <w:pStyle w:val="14"/>
        <w:tabs>
          <w:tab w:val="right" w:leader="dot" w:pos="839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"_Toc7828" </w:instrText>
      </w:r>
      <w:r>
        <w:rPr>
          <w:color w:val="auto"/>
          <w:highlight w:val="none"/>
        </w:rPr>
        <w:fldChar w:fldCharType="separate"/>
      </w:r>
      <w:r>
        <w:rPr>
          <w:rFonts w:hint="eastAsia" w:ascii="Times New Roman" w:hAnsi="Times New Roman" w:cs="Times New Roman"/>
          <w:color w:val="auto"/>
          <w:highlight w:val="none"/>
        </w:rPr>
        <w:t xml:space="preserve">第六章 </w:t>
      </w:r>
      <w:r>
        <w:rPr>
          <w:rFonts w:hint="default" w:ascii="Times New Roman" w:hAnsi="Times New Roman" w:cs="Times New Roman"/>
          <w:color w:val="auto"/>
          <w:highlight w:val="none"/>
        </w:rPr>
        <w:t>投标文件格式</w:t>
      </w:r>
      <w:r>
        <w:rPr>
          <w:color w:val="auto"/>
          <w:highlight w:val="none"/>
        </w:rPr>
        <w:tab/>
      </w:r>
      <w:r>
        <w:rPr>
          <w:rFonts w:hint="eastAsia"/>
          <w:color w:val="auto"/>
          <w:highlight w:val="none"/>
          <w:lang w:val="en-US" w:eastAsia="zh-CN"/>
        </w:rPr>
        <w:t>5</w:t>
      </w:r>
      <w:r>
        <w:rPr>
          <w:rFonts w:hint="eastAsia"/>
          <w:color w:val="auto"/>
          <w:highlight w:val="none"/>
          <w:lang w:val="en-US" w:eastAsia="zh-CN"/>
        </w:rPr>
        <w:fldChar w:fldCharType="end"/>
      </w:r>
      <w:r>
        <w:rPr>
          <w:rFonts w:hint="eastAsia" w:cs="Times New Roman"/>
          <w:color w:val="auto"/>
          <w:szCs w:val="28"/>
          <w:highlight w:val="none"/>
          <w:lang w:val="en-US" w:eastAsia="zh-CN"/>
        </w:rPr>
        <w:t>3</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color w:val="auto"/>
          <w:sz w:val="28"/>
          <w:szCs w:val="21"/>
          <w:highlight w:val="none"/>
        </w:rPr>
      </w:pPr>
      <w:r>
        <w:rPr>
          <w:rFonts w:hint="default" w:ascii="Times New Roman" w:hAnsi="Times New Roman" w:cs="Times New Roman"/>
          <w:color w:val="auto"/>
          <w:szCs w:val="28"/>
          <w:highlight w:val="none"/>
        </w:rPr>
        <w:fldChar w:fldCharType="end"/>
      </w:r>
    </w:p>
    <w:p>
      <w:pPr>
        <w:pStyle w:val="3"/>
        <w:bidi w:val="0"/>
        <w:rPr>
          <w:rFonts w:hint="default" w:ascii="Times New Roman" w:hAnsi="Times New Roman" w:cs="Times New Roman"/>
          <w:color w:val="auto"/>
          <w:highlight w:val="none"/>
        </w:rPr>
        <w:sectPr>
          <w:footerReference r:id="rId12" w:type="first"/>
          <w:footerReference r:id="rId11" w:type="default"/>
          <w:pgSz w:w="11906" w:h="16838"/>
          <w:pgMar w:top="1247" w:right="1758" w:bottom="1247" w:left="1758" w:header="851" w:footer="851" w:gutter="0"/>
          <w:pgNumType w:fmt="decimal"/>
          <w:cols w:space="720" w:num="1"/>
          <w:titlePg/>
          <w:docGrid w:linePitch="312" w:charSpace="0"/>
        </w:sectPr>
      </w:pPr>
      <w:bookmarkStart w:id="0" w:name="_Toc26983"/>
      <w:bookmarkStart w:id="1" w:name="_Toc24126"/>
    </w:p>
    <w:p>
      <w:pPr>
        <w:pStyle w:val="3"/>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第一章  招标公告</w:t>
      </w:r>
      <w:bookmarkEnd w:id="0"/>
      <w:bookmarkEnd w:id="1"/>
    </w:p>
    <w:p>
      <w:pPr>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宁波油港轮驳有限公司</w:t>
      </w:r>
      <w:r>
        <w:rPr>
          <w:rFonts w:hint="default" w:ascii="Times New Roman" w:hAnsi="Times New Roman" w:cs="Times New Roman"/>
          <w:color w:val="auto"/>
          <w:highlight w:val="none"/>
        </w:rPr>
        <w:t>拟对</w:t>
      </w:r>
      <w:r>
        <w:rPr>
          <w:rFonts w:hint="eastAsia" w:ascii="Times New Roman" w:hAnsi="Times New Roman" w:eastAsia="宋体" w:cs="Times New Roman"/>
          <w:color w:val="auto"/>
          <w:highlight w:val="none"/>
          <w:lang w:val="en-US" w:eastAsia="zh-CN"/>
        </w:rPr>
        <w:t>宁波油港轮驳有限公司</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甬港拖</w:t>
      </w:r>
      <w:r>
        <w:rPr>
          <w:rFonts w:hint="eastAsia" w:cs="Times New Roman"/>
          <w:color w:val="auto"/>
          <w:highlight w:val="none"/>
          <w:lang w:val="en-US" w:eastAsia="zh-CN"/>
        </w:rPr>
        <w:t>33</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轮修理</w:t>
      </w:r>
      <w:r>
        <w:rPr>
          <w:rFonts w:hint="default" w:ascii="Times New Roman" w:hAnsi="Times New Roman" w:eastAsia="宋体" w:cs="Times New Roman"/>
          <w:color w:val="auto"/>
          <w:highlight w:val="none"/>
          <w:lang w:val="en-US" w:eastAsia="zh-CN"/>
        </w:rPr>
        <w:t>项目</w:t>
      </w:r>
      <w:r>
        <w:rPr>
          <w:rFonts w:hint="eastAsia" w:cs="Times New Roman"/>
          <w:color w:val="auto"/>
          <w:highlight w:val="none"/>
          <w:lang w:val="en-US" w:eastAsia="zh-CN"/>
        </w:rPr>
        <w:t>（2026年度）</w:t>
      </w:r>
      <w:r>
        <w:rPr>
          <w:rFonts w:hint="default" w:ascii="Times New Roman" w:hAnsi="Times New Roman" w:cs="Times New Roman"/>
          <w:color w:val="auto"/>
          <w:highlight w:val="none"/>
        </w:rPr>
        <w:t>进行</w:t>
      </w:r>
      <w:bookmarkStart w:id="2" w:name="gxebd_biddingMethod_2"/>
      <w:r>
        <w:rPr>
          <w:rFonts w:hint="default" w:ascii="Times New Roman" w:hAnsi="Times New Roman" w:cs="Times New Roman"/>
          <w:color w:val="auto"/>
          <w:highlight w:val="none"/>
        </w:rPr>
        <w:t>公开招标</w:t>
      </w:r>
      <w:bookmarkEnd w:id="2"/>
      <w:r>
        <w:rPr>
          <w:rFonts w:hint="default" w:ascii="Times New Roman" w:hAnsi="Times New Roman" w:cs="Times New Roman"/>
          <w:color w:val="auto"/>
          <w:highlight w:val="none"/>
        </w:rPr>
        <w:t>，欢迎符合资格条件的投标人前来投标。</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一、</w:t>
      </w:r>
      <w:r>
        <w:rPr>
          <w:rFonts w:hint="default" w:ascii="Times New Roman" w:hAnsi="Times New Roman" w:cs="Times New Roman"/>
          <w:color w:val="auto"/>
          <w:highlight w:val="none"/>
        </w:rPr>
        <w:t>招标编号</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bookmarkStart w:id="3" w:name="gxebd_tenderNo_1"/>
      <w:r>
        <w:rPr>
          <w:rFonts w:hint="default" w:cs="Times New Roman"/>
          <w:color w:val="auto"/>
          <w:highlight w:val="none"/>
          <w:lang w:val="en-US" w:eastAsia="zh-CN"/>
        </w:rPr>
        <w:t>Z</w:t>
      </w:r>
      <w:bookmarkEnd w:id="3"/>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二、本项目采用</w:t>
      </w:r>
      <w:bookmarkStart w:id="4" w:name="gxebd_procurementMethod_1"/>
      <w:r>
        <w:rPr>
          <w:rFonts w:hint="default" w:ascii="Times New Roman" w:hAnsi="Times New Roman" w:cs="Times New Roman"/>
          <w:color w:val="auto"/>
          <w:highlight w:val="none"/>
        </w:rPr>
        <w:t>公开招标</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资格后审</w:t>
      </w:r>
      <w:bookmarkEnd w:id="4"/>
      <w:r>
        <w:rPr>
          <w:rFonts w:hint="default" w:ascii="Times New Roman" w:hAnsi="Times New Roman" w:cs="Times New Roman"/>
          <w:color w:val="auto"/>
          <w:highlight w:val="none"/>
        </w:rPr>
        <w:t>方式。</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三、</w:t>
      </w:r>
      <w:r>
        <w:rPr>
          <w:rFonts w:hint="default" w:ascii="Times New Roman" w:hAnsi="Times New Roman" w:cs="Times New Roman"/>
          <w:color w:val="auto"/>
          <w:highlight w:val="none"/>
        </w:rPr>
        <w:t xml:space="preserve">项目概况 </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1.项目名称：宁波油港轮驳有限公司【甬港拖33】轮修理项目（2026年度）</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2.招标内容：【甬港拖33】轮2026年度厂修。</w:t>
      </w:r>
      <w:r>
        <w:rPr>
          <w:rFonts w:hint="eastAsia" w:ascii="宋体" w:hAnsi="宋体" w:cs="宋体"/>
          <w:color w:val="auto"/>
          <w:szCs w:val="21"/>
          <w:highlight w:val="none"/>
        </w:rPr>
        <w:t>船舶主要规范：</w:t>
      </w:r>
      <w:r>
        <w:rPr>
          <w:rFonts w:hint="eastAsia" w:ascii="宋体" w:hAnsi="宋体" w:cs="宋体"/>
          <w:color w:val="auto"/>
          <w:kern w:val="58"/>
          <w:szCs w:val="21"/>
          <w:highlight w:val="none"/>
        </w:rPr>
        <w:t>船长</w:t>
      </w:r>
      <w:r>
        <w:rPr>
          <w:rFonts w:hint="eastAsia" w:ascii="宋体" w:hAnsi="宋体" w:cs="宋体"/>
          <w:color w:val="auto"/>
          <w:kern w:val="0"/>
          <w:szCs w:val="21"/>
          <w:highlight w:val="none"/>
          <w:lang w:bidi="ar"/>
        </w:rPr>
        <w:t>3</w:t>
      </w:r>
      <w:r>
        <w:rPr>
          <w:rFonts w:hint="eastAsia" w:ascii="宋体" w:hAnsi="宋体" w:cs="宋体"/>
          <w:color w:val="auto"/>
          <w:kern w:val="0"/>
          <w:szCs w:val="21"/>
          <w:highlight w:val="none"/>
          <w:lang w:val="en-US" w:eastAsia="zh-CN" w:bidi="ar"/>
        </w:rPr>
        <w:t>9m</w:t>
      </w:r>
      <w:r>
        <w:rPr>
          <w:rFonts w:hint="eastAsia" w:ascii="宋体" w:hAnsi="宋体" w:cs="宋体"/>
          <w:color w:val="auto"/>
          <w:kern w:val="58"/>
          <w:szCs w:val="21"/>
          <w:highlight w:val="none"/>
        </w:rPr>
        <w:t>，船宽</w:t>
      </w:r>
      <w:r>
        <w:rPr>
          <w:rFonts w:hint="eastAsia" w:ascii="宋体" w:hAnsi="宋体" w:cs="宋体"/>
          <w:color w:val="auto"/>
          <w:kern w:val="58"/>
          <w:szCs w:val="21"/>
          <w:highlight w:val="none"/>
          <w:lang w:val="en-US" w:eastAsia="zh-CN"/>
        </w:rPr>
        <w:t>10.6</w:t>
      </w:r>
      <w:r>
        <w:rPr>
          <w:rFonts w:hint="eastAsia" w:ascii="宋体" w:hAnsi="宋体" w:cs="宋体"/>
          <w:color w:val="auto"/>
          <w:kern w:val="58"/>
          <w:szCs w:val="21"/>
          <w:highlight w:val="none"/>
        </w:rPr>
        <w:t>m，型深：</w:t>
      </w: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9</w:t>
      </w:r>
      <w:r>
        <w:rPr>
          <w:rFonts w:hint="eastAsia" w:ascii="宋体" w:hAnsi="宋体" w:cs="宋体"/>
          <w:color w:val="auto"/>
          <w:kern w:val="58"/>
          <w:szCs w:val="21"/>
          <w:highlight w:val="none"/>
        </w:rPr>
        <w:t>m。</w:t>
      </w:r>
      <w:r>
        <w:rPr>
          <w:rFonts w:hint="eastAsia" w:cs="Times New Roman"/>
          <w:color w:val="auto"/>
          <w:highlight w:val="none"/>
          <w:lang w:val="en-US" w:eastAsia="zh-CN"/>
        </w:rPr>
        <w:t>具体详见招标文件第二章招标需求《技术要求》。</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3.服务期限：限定最长修理周期22日历天(其中坞期不少于8日历天)，预计进厂时间2026年3月上旬。投标人根据修理项目内容可以自行确定修理周期，但不能超过业主限定期限。</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eastAsia" w:cs="Times New Roman"/>
          <w:color w:val="auto"/>
          <w:highlight w:val="none"/>
          <w:lang w:val="en-US" w:eastAsia="zh-CN"/>
        </w:rPr>
        <w:t>招标控制价（含税价）：35万元整。</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四、</w:t>
      </w:r>
      <w:r>
        <w:rPr>
          <w:rFonts w:hint="default" w:ascii="Times New Roman" w:hAnsi="Times New Roman" w:cs="Times New Roman"/>
          <w:color w:val="auto"/>
          <w:highlight w:val="none"/>
        </w:rPr>
        <w:t>合格投标人的资格要求</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bookmarkStart w:id="5" w:name="OLE_LINK1"/>
      <w:r>
        <w:rPr>
          <w:rFonts w:hint="eastAsia" w:cs="Times New Roman"/>
          <w:color w:val="auto"/>
          <w:highlight w:val="none"/>
          <w:lang w:val="en-US" w:eastAsia="zh-CN"/>
        </w:rPr>
        <w:t>1</w:t>
      </w:r>
      <w:r>
        <w:rPr>
          <w:rFonts w:hint="default" w:cs="Times New Roman"/>
          <w:color w:val="auto"/>
          <w:highlight w:val="none"/>
          <w:lang w:val="en-US" w:eastAsia="zh-CN"/>
        </w:rPr>
        <w:t>. 投标人必须为</w:t>
      </w:r>
      <w:r>
        <w:rPr>
          <w:rFonts w:hint="eastAsia" w:cs="Times New Roman"/>
          <w:color w:val="auto"/>
          <w:highlight w:val="none"/>
          <w:lang w:val="en-US" w:eastAsia="zh-CN"/>
        </w:rPr>
        <w:t>具有独立承担民事责任能力，具备完成本次招标项目的能力，提供有效的营业执照扫描件加盖公章。</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 xml:space="preserve">2. </w:t>
      </w:r>
      <w:bookmarkStart w:id="6" w:name="OLE_LINK6"/>
      <w:r>
        <w:rPr>
          <w:rFonts w:hint="default" w:cs="Times New Roman"/>
          <w:color w:val="auto"/>
          <w:highlight w:val="none"/>
          <w:lang w:val="en-US" w:eastAsia="zh-CN"/>
        </w:rPr>
        <w:t>投标人不得为失信被执行人，</w:t>
      </w:r>
      <w:r>
        <w:rPr>
          <w:rFonts w:hint="eastAsia" w:cs="Times New Roman"/>
          <w:color w:val="auto"/>
          <w:highlight w:val="none"/>
          <w:lang w:val="en-US" w:eastAsia="zh-CN"/>
        </w:rPr>
        <w:t>需提供信用中国查询截图，或由</w:t>
      </w:r>
      <w:r>
        <w:rPr>
          <w:rFonts w:hint="default" w:cs="Times New Roman"/>
          <w:color w:val="auto"/>
          <w:highlight w:val="none"/>
          <w:lang w:val="en-US" w:eastAsia="zh-CN"/>
        </w:rPr>
        <w:t>招标人对投标人失信信息进行查询（具体以评标当天“信用中国”网站www.creditchina.gov.cn查询为准）。</w:t>
      </w:r>
      <w:bookmarkEnd w:id="6"/>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eastAsia" w:cs="Times New Roman"/>
          <w:color w:val="auto"/>
          <w:highlight w:val="none"/>
          <w:lang w:val="en-US" w:eastAsia="zh-CN"/>
        </w:rPr>
        <w:t xml:space="preserve">3. </w:t>
      </w:r>
      <w:r>
        <w:rPr>
          <w:rFonts w:hint="default" w:cs="Times New Roman"/>
          <w:color w:val="auto"/>
          <w:highlight w:val="none"/>
          <w:lang w:val="en-US" w:eastAsia="zh-CN"/>
        </w:rPr>
        <w:t>单位负责人为同一人或者存在控股</w:t>
      </w:r>
      <w:r>
        <w:rPr>
          <w:rFonts w:hint="eastAsia" w:cs="Times New Roman"/>
          <w:color w:val="auto"/>
          <w:highlight w:val="none"/>
          <w:lang w:val="en-US" w:eastAsia="zh-CN"/>
        </w:rPr>
        <w:t>、</w:t>
      </w:r>
      <w:r>
        <w:rPr>
          <w:rFonts w:hint="default" w:cs="Times New Roman"/>
          <w:color w:val="auto"/>
          <w:highlight w:val="none"/>
          <w:lang w:val="en-US" w:eastAsia="zh-CN"/>
        </w:rPr>
        <w:t>管理关系的不同单位，不得参加同一标段投标或者未划分标段的同一招标项目投标。</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eastAsia" w:cs="Times New Roman"/>
          <w:color w:val="auto"/>
          <w:highlight w:val="none"/>
          <w:lang w:val="en-US" w:eastAsia="zh-CN"/>
        </w:rPr>
        <w:t>4</w:t>
      </w:r>
      <w:r>
        <w:rPr>
          <w:rFonts w:hint="default" w:cs="Times New Roman"/>
          <w:color w:val="auto"/>
          <w:highlight w:val="none"/>
          <w:lang w:val="en-US" w:eastAsia="zh-CN"/>
        </w:rPr>
        <w:t>. 本项目不允许联合体投标，</w:t>
      </w:r>
      <w:bookmarkEnd w:id="5"/>
      <w:r>
        <w:rPr>
          <w:rFonts w:hint="default" w:cs="Times New Roman"/>
          <w:color w:val="auto"/>
          <w:highlight w:val="none"/>
          <w:lang w:val="en-US" w:eastAsia="zh-CN"/>
        </w:rPr>
        <w:t>不允许转包</w:t>
      </w:r>
      <w:r>
        <w:rPr>
          <w:rFonts w:hint="eastAsia" w:cs="Times New Roman"/>
          <w:color w:val="auto"/>
          <w:highlight w:val="none"/>
          <w:lang w:val="en-US" w:eastAsia="zh-CN"/>
        </w:rPr>
        <w:t>违法分包</w:t>
      </w:r>
      <w:r>
        <w:rPr>
          <w:rFonts w:hint="default" w:cs="Times New Roman"/>
          <w:color w:val="auto"/>
          <w:highlight w:val="none"/>
          <w:lang w:val="en-US"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default" w:eastAsia="宋体"/>
          <w:color w:val="auto"/>
          <w:highlight w:val="none"/>
          <w:lang w:val="en-US" w:eastAsia="zh-CN"/>
        </w:rPr>
      </w:pPr>
      <w:r>
        <w:rPr>
          <w:rFonts w:hint="eastAsia" w:cs="Times New Roman"/>
          <w:color w:val="auto"/>
          <w:highlight w:val="none"/>
          <w:lang w:val="en-US" w:eastAsia="zh-CN"/>
        </w:rPr>
        <w:t>5. 投标人需提供2022年1月1日（以合同签订日期为准）以后至少三个类似服务项目业绩证明（合同金额30万及以上，需提供合同复印件并加盖公章）。</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五、</w:t>
      </w:r>
      <w:r>
        <w:rPr>
          <w:rFonts w:hint="default" w:ascii="Times New Roman" w:hAnsi="Times New Roman" w:cs="Times New Roman"/>
          <w:color w:val="auto"/>
          <w:highlight w:val="none"/>
        </w:rPr>
        <w:t>招标文件的获取</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1. 本项目采用电子招标投标方式，投标人可访问浙江省海港集团电子招标采购平台，从浙江省海港集团、宁波舟山港集团网站（http://www.zjseaport.com/jtww/）进入阳光工程-电子招标采购平台后进行供应商注册，并下载“浙江海港投标管家”。本项目招标文件和补充（答疑、澄清）、修改文件均通过“浙江海港投标管家”下载。</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2. 网上报名时间</w:t>
      </w:r>
      <w:bookmarkStart w:id="7" w:name="gxebd_docDownloadStartTime_1"/>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 xml:space="preserve">年  月  日 </w:t>
      </w:r>
      <w:bookmarkEnd w:id="7"/>
      <w:r>
        <w:rPr>
          <w:rFonts w:hint="default" w:cs="Times New Roman"/>
          <w:color w:val="auto"/>
          <w:highlight w:val="none"/>
          <w:lang w:val="en-US" w:eastAsia="zh-CN"/>
        </w:rPr>
        <w:t>至</w:t>
      </w:r>
      <w:bookmarkStart w:id="8" w:name="gxebd_docDownloadEndTime_1"/>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年  月  日</w:t>
      </w:r>
      <w:r>
        <w:rPr>
          <w:rFonts w:hint="eastAsia" w:cs="Times New Roman"/>
          <w:color w:val="auto"/>
          <w:highlight w:val="none"/>
          <w:lang w:val="en-US" w:eastAsia="zh-CN"/>
        </w:rPr>
        <w:t>16</w:t>
      </w:r>
      <w:r>
        <w:rPr>
          <w:rFonts w:hint="default" w:cs="Times New Roman"/>
          <w:color w:val="auto"/>
          <w:highlight w:val="none"/>
          <w:lang w:val="en-US" w:eastAsia="zh-CN"/>
        </w:rPr>
        <w:t>时</w:t>
      </w:r>
      <w:r>
        <w:rPr>
          <w:rFonts w:hint="eastAsia" w:cs="Times New Roman"/>
          <w:color w:val="auto"/>
          <w:highlight w:val="none"/>
          <w:lang w:val="en-US" w:eastAsia="zh-CN"/>
        </w:rPr>
        <w:t>00</w:t>
      </w:r>
      <w:r>
        <w:rPr>
          <w:rFonts w:hint="default" w:cs="Times New Roman"/>
          <w:color w:val="auto"/>
          <w:highlight w:val="none"/>
          <w:lang w:val="en-US" w:eastAsia="zh-CN"/>
        </w:rPr>
        <w:t>分</w:t>
      </w:r>
      <w:bookmarkEnd w:id="8"/>
      <w:r>
        <w:rPr>
          <w:rFonts w:hint="default" w:cs="Times New Roman"/>
          <w:color w:val="auto"/>
          <w:highlight w:val="non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cs="Times New Roman"/>
          <w:color w:val="auto"/>
          <w:highlight w:val="none"/>
          <w:lang w:val="en-US" w:eastAsia="zh-CN"/>
        </w:rPr>
        <w:t>3. 未取得浙江省海港集团电子招标采购平台数字证书的投标人，投标前应先办理浙江省海港集团电子招标采购平台CA数字证书，具体办理指南及下载链接请至浙江省海港集团电子招标采购平台进行查看。</w:t>
      </w:r>
      <w:r>
        <w:rPr>
          <w:rFonts w:hint="default" w:ascii="Times New Roman" w:hAnsi="Times New Roman" w:cs="Times New Roman"/>
          <w:color w:val="auto"/>
          <w:highlight w:val="none"/>
        </w:rPr>
        <w:t xml:space="preserve"> </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六、</w:t>
      </w:r>
      <w:r>
        <w:rPr>
          <w:rFonts w:hint="default" w:ascii="Times New Roman" w:hAnsi="Times New Roman" w:cs="Times New Roman"/>
          <w:color w:val="auto"/>
          <w:highlight w:val="none"/>
        </w:rPr>
        <w:t>投标保证金</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1. 金额：</w:t>
      </w:r>
      <w:bookmarkStart w:id="9" w:name="gxebd_bidBoundDaXie_1"/>
      <w:r>
        <w:rPr>
          <w:rFonts w:hint="eastAsia" w:cs="Times New Roman"/>
          <w:color w:val="auto"/>
          <w:highlight w:val="none"/>
          <w:lang w:val="en-US" w:eastAsia="zh-CN"/>
        </w:rPr>
        <w:t>人民币捌仟</w:t>
      </w:r>
      <w:r>
        <w:rPr>
          <w:rFonts w:hint="default" w:cs="Times New Roman"/>
          <w:color w:val="auto"/>
          <w:highlight w:val="none"/>
          <w:lang w:val="en-US" w:eastAsia="zh-CN"/>
        </w:rPr>
        <w:t>元</w:t>
      </w:r>
      <w:bookmarkEnd w:id="9"/>
      <w:r>
        <w:rPr>
          <w:rFonts w:hint="default" w:cs="Times New Roman"/>
          <w:color w:val="auto"/>
          <w:highlight w:val="none"/>
          <w:lang w:val="en-US"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2. 投标人应于</w:t>
      </w:r>
      <w:bookmarkStart w:id="10" w:name="gxebd_bidBoundEndTime_1"/>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年  月  日16时</w:t>
      </w:r>
      <w:bookmarkEnd w:id="10"/>
      <w:r>
        <w:rPr>
          <w:rFonts w:hint="default" w:cs="Times New Roman"/>
          <w:color w:val="auto"/>
          <w:highlight w:val="none"/>
          <w:lang w:val="en-US" w:eastAsia="zh-CN"/>
        </w:rPr>
        <w:t>00分前通过浙江省海港集团电子招标采购平台汇入指定账户。</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3. 投标保证金应通过投标单位银行基本账户汇入，否则视为投标保证金无效。</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七、</w:t>
      </w:r>
      <w:r>
        <w:rPr>
          <w:rFonts w:hint="default" w:ascii="Times New Roman" w:hAnsi="Times New Roman" w:cs="Times New Roman"/>
          <w:color w:val="auto"/>
          <w:highlight w:val="none"/>
        </w:rPr>
        <w:t>投标截止时间和地点</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1. 投标文件递交截止时间：</w:t>
      </w:r>
      <w:bookmarkStart w:id="11" w:name="gxebd_submitEndDate_1"/>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年  月  日9时30分</w:t>
      </w:r>
      <w:bookmarkEnd w:id="11"/>
      <w:r>
        <w:rPr>
          <w:rFonts w:hint="default" w:cs="Times New Roman"/>
          <w:color w:val="auto"/>
          <w:highlight w:val="none"/>
          <w:lang w:val="en-US"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2. 投标文件递交方式：</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线上递交方式（投标管家工具）：投标人在投标文件递交时间截止前（</w:t>
      </w:r>
      <w:bookmarkStart w:id="12" w:name="gxebd_submitEndDate_2"/>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年  月  日9时30分</w:t>
      </w:r>
      <w:bookmarkEnd w:id="12"/>
      <w:r>
        <w:rPr>
          <w:rFonts w:hint="default" w:cs="Times New Roman"/>
          <w:color w:val="auto"/>
          <w:highlight w:val="none"/>
          <w:lang w:val="en-US" w:eastAsia="zh-CN"/>
        </w:rPr>
        <w:t xml:space="preserve">），将电子投标文件加密后递交至电子招标采购平台。 </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八、</w:t>
      </w:r>
      <w:r>
        <w:rPr>
          <w:rFonts w:hint="default" w:ascii="Times New Roman" w:hAnsi="Times New Roman" w:cs="Times New Roman"/>
          <w:color w:val="auto"/>
          <w:highlight w:val="none"/>
        </w:rPr>
        <w:t>开标时间地点及注意事项</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default" w:cs="Times New Roman"/>
          <w:color w:val="auto"/>
          <w:highlight w:val="none"/>
          <w:lang w:val="en-US" w:eastAsia="zh-CN"/>
        </w:rPr>
        <w:t>本</w:t>
      </w:r>
      <w:r>
        <w:rPr>
          <w:rFonts w:hint="eastAsia" w:cs="Times New Roman"/>
          <w:color w:val="auto"/>
          <w:highlight w:val="none"/>
          <w:lang w:val="en-US" w:eastAsia="zh-CN"/>
        </w:rPr>
        <w:t>项目</w:t>
      </w:r>
      <w:r>
        <w:rPr>
          <w:rFonts w:hint="default" w:cs="Times New Roman"/>
          <w:color w:val="auto"/>
          <w:highlight w:val="none"/>
          <w:lang w:val="en-US" w:eastAsia="zh-CN"/>
        </w:rPr>
        <w:t>将于</w:t>
      </w:r>
      <w:bookmarkStart w:id="13" w:name="gxebd_submitEndDate_3"/>
      <w:r>
        <w:rPr>
          <w:rFonts w:hint="default" w:cs="Times New Roman"/>
          <w:color w:val="auto"/>
          <w:highlight w:val="none"/>
          <w:lang w:val="en-US" w:eastAsia="zh-CN"/>
        </w:rPr>
        <w:t>202</w:t>
      </w:r>
      <w:r>
        <w:rPr>
          <w:rFonts w:hint="eastAsia" w:cs="Times New Roman"/>
          <w:color w:val="auto"/>
          <w:highlight w:val="none"/>
          <w:lang w:val="en-US" w:eastAsia="zh-CN"/>
        </w:rPr>
        <w:t>6</w:t>
      </w:r>
      <w:r>
        <w:rPr>
          <w:rFonts w:hint="default" w:cs="Times New Roman"/>
          <w:color w:val="auto"/>
          <w:highlight w:val="none"/>
          <w:lang w:val="en-US" w:eastAsia="zh-CN"/>
        </w:rPr>
        <w:t>年  月  日9时</w:t>
      </w:r>
      <w:r>
        <w:rPr>
          <w:rFonts w:hint="eastAsia" w:cs="Times New Roman"/>
          <w:color w:val="auto"/>
          <w:highlight w:val="none"/>
          <w:lang w:val="en-US" w:eastAsia="zh-CN"/>
        </w:rPr>
        <w:t>00</w:t>
      </w:r>
      <w:r>
        <w:rPr>
          <w:rFonts w:hint="default" w:cs="Times New Roman"/>
          <w:color w:val="auto"/>
          <w:highlight w:val="none"/>
          <w:lang w:val="en-US" w:eastAsia="zh-CN"/>
        </w:rPr>
        <w:t>分</w:t>
      </w:r>
      <w:bookmarkEnd w:id="13"/>
      <w:r>
        <w:rPr>
          <w:rFonts w:hint="default" w:cs="Times New Roman"/>
          <w:color w:val="auto"/>
          <w:highlight w:val="none"/>
          <w:lang w:val="en-US" w:eastAsia="zh-CN"/>
        </w:rPr>
        <w:t>在</w:t>
      </w:r>
      <w:r>
        <w:rPr>
          <w:rFonts w:hint="eastAsia" w:cs="Times New Roman"/>
          <w:color w:val="auto"/>
          <w:highlight w:val="none"/>
          <w:lang w:val="en-US" w:eastAsia="zh-CN"/>
        </w:rPr>
        <w:t>宁波油港轮驳有限公司</w:t>
      </w:r>
      <w:r>
        <w:rPr>
          <w:rFonts w:hint="default" w:cs="Times New Roman"/>
          <w:color w:val="auto"/>
          <w:highlight w:val="none"/>
          <w:lang w:val="en-US" w:eastAsia="zh-CN"/>
        </w:rPr>
        <w:t>开评标室（地址：宁波市</w:t>
      </w:r>
      <w:r>
        <w:rPr>
          <w:rFonts w:hint="eastAsia" w:cs="Times New Roman"/>
          <w:color w:val="auto"/>
          <w:highlight w:val="none"/>
          <w:lang w:val="en-US" w:eastAsia="zh-CN"/>
        </w:rPr>
        <w:t>镇海区沿江东路173号2号楼4楼</w:t>
      </w:r>
      <w:r>
        <w:rPr>
          <w:rFonts w:hint="default" w:cs="Times New Roman"/>
          <w:color w:val="auto"/>
          <w:highlight w:val="none"/>
          <w:lang w:val="en-US" w:eastAsia="zh-CN"/>
        </w:rPr>
        <w:t>）在线公开开标。</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b/>
          <w:bCs/>
          <w:color w:val="auto"/>
          <w:highlight w:val="none"/>
          <w:lang w:val="en-US" w:eastAsia="zh-CN"/>
        </w:rPr>
      </w:pPr>
      <w:r>
        <w:rPr>
          <w:rFonts w:hint="default" w:cs="Times New Roman"/>
          <w:b/>
          <w:bCs/>
          <w:color w:val="auto"/>
          <w:highlight w:val="none"/>
          <w:lang w:val="en-US" w:eastAsia="zh-CN"/>
        </w:rPr>
        <w:t>注意事项：</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b/>
          <w:bCs/>
          <w:color w:val="auto"/>
          <w:highlight w:val="none"/>
          <w:lang w:val="en-US" w:eastAsia="zh-CN"/>
        </w:rPr>
      </w:pPr>
      <w:r>
        <w:rPr>
          <w:rFonts w:hint="default" w:cs="Times New Roman"/>
          <w:b/>
          <w:bCs/>
          <w:color w:val="auto"/>
          <w:highlight w:val="none"/>
          <w:lang w:val="en-US" w:eastAsia="zh-CN"/>
        </w:rPr>
        <w:t>1. 投标人于</w:t>
      </w:r>
      <w:r>
        <w:rPr>
          <w:rFonts w:hint="eastAsia" w:cs="Times New Roman"/>
          <w:b/>
          <w:bCs/>
          <w:color w:val="auto"/>
          <w:highlight w:val="none"/>
          <w:lang w:val="en-US" w:eastAsia="zh-CN"/>
        </w:rPr>
        <w:t>投标</w:t>
      </w:r>
      <w:r>
        <w:rPr>
          <w:rFonts w:hint="default" w:cs="Times New Roman"/>
          <w:b/>
          <w:bCs/>
          <w:color w:val="auto"/>
          <w:highlight w:val="none"/>
          <w:lang w:val="en-US" w:eastAsia="zh-CN"/>
        </w:rPr>
        <w:t xml:space="preserve">截止时间之后三十分钟内在“浙江海港投标管家”工具端—进入项目—开标—远程开标模块，点击“确认开标结果”按钮进行确认，如超时未确认，视作投标人已对开标结果确认无误。 </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b/>
          <w:bCs/>
          <w:color w:val="auto"/>
          <w:highlight w:val="none"/>
          <w:lang w:val="en-US" w:eastAsia="zh-CN"/>
        </w:rPr>
      </w:pPr>
      <w:r>
        <w:rPr>
          <w:rFonts w:hint="default" w:cs="Times New Roman"/>
          <w:b/>
          <w:bCs/>
          <w:color w:val="auto"/>
          <w:highlight w:val="none"/>
          <w:lang w:val="en-US" w:eastAsia="zh-CN"/>
        </w:rPr>
        <w:t xml:space="preserve">2. 本项目采用电子招标，中标单位须在明确中标后、获取中标通知书前将相应的交易服务费缴入平台指定的集团账户（在“投标管家”工具中查看），具体收费标准详见招标文件或平台公告。 </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九、</w:t>
      </w:r>
      <w:r>
        <w:rPr>
          <w:rFonts w:hint="default" w:ascii="Times New Roman" w:hAnsi="Times New Roman" w:cs="Times New Roman"/>
          <w:color w:val="auto"/>
          <w:highlight w:val="none"/>
        </w:rPr>
        <w:t>联系方式</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招  标  人：</w:t>
      </w:r>
      <w:r>
        <w:rPr>
          <w:rFonts w:hint="eastAsia" w:cs="Times New Roman"/>
          <w:color w:val="auto"/>
          <w:highlight w:val="none"/>
          <w:lang w:val="en-US" w:eastAsia="zh-CN"/>
        </w:rPr>
        <w:t>宁波油港轮驳有限公司</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技术联系人：</w:t>
      </w:r>
      <w:r>
        <w:rPr>
          <w:rFonts w:hint="eastAsia" w:cs="Times New Roman"/>
          <w:color w:val="auto"/>
          <w:highlight w:val="none"/>
          <w:lang w:val="en-US" w:eastAsia="zh-CN"/>
        </w:rPr>
        <w:t>祝建虢</w:t>
      </w:r>
      <w:r>
        <w:rPr>
          <w:rFonts w:hint="default" w:cs="Times New Roman"/>
          <w:color w:val="auto"/>
          <w:highlight w:val="none"/>
          <w:lang w:val="en-US" w:eastAsia="zh-CN"/>
        </w:rPr>
        <w:t xml:space="preserve">            联系电话：</w:t>
      </w:r>
      <w:r>
        <w:rPr>
          <w:rFonts w:hint="eastAsia" w:cs="Times New Roman"/>
          <w:color w:val="auto"/>
          <w:highlight w:val="none"/>
          <w:lang w:val="en-US" w:eastAsia="zh-CN"/>
        </w:rPr>
        <w:t>13906699429</w:t>
      </w:r>
      <w:r>
        <w:rPr>
          <w:rFonts w:hint="default" w:cs="Times New Roman"/>
          <w:color w:val="auto"/>
          <w:highlight w:val="non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电子招标采购平台咨询电话：0574-27680520</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CA咨询热线：400-666-4230</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eastAsia" w:cs="Times New Roman"/>
          <w:color w:val="auto"/>
          <w:highlight w:val="none"/>
          <w:lang w:val="en-US" w:eastAsia="zh-CN"/>
        </w:rPr>
        <w:t>异议信息反馈邮箱：taiyangguang2025@163.com</w:t>
      </w:r>
    </w:p>
    <w:p>
      <w:pPr>
        <w:pStyle w:val="4"/>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十、投诉联系方式</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投标人和其他利害关系人认为本次招标活动违反法律、法规和规章规定的，有权向有关监督部门投诉。宁波油港轮驳有限公司负责受理投诉的机构及其电话、</w:t>
      </w:r>
      <w:r>
        <w:rPr>
          <w:rFonts w:hint="eastAsia" w:cs="Times New Roman"/>
          <w:color w:val="auto"/>
          <w:highlight w:val="none"/>
          <w:lang w:val="en-US" w:eastAsia="zh-CN"/>
        </w:rPr>
        <w:t>邮箱、</w:t>
      </w:r>
      <w:r>
        <w:rPr>
          <w:rFonts w:hint="default" w:cs="Times New Roman"/>
          <w:color w:val="auto"/>
          <w:highlight w:val="none"/>
          <w:lang w:val="en-US" w:eastAsia="zh-CN"/>
        </w:rPr>
        <w:t>邮编、通讯地址如下：宁波油港轮驳有限公司纪检室</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电话：0574-27695446</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邮箱：lsjw@nbport.com.cn</w:t>
      </w:r>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r>
        <w:rPr>
          <w:rFonts w:hint="default" w:cs="Times New Roman"/>
          <w:color w:val="auto"/>
          <w:highlight w:val="none"/>
          <w:lang w:val="en-US" w:eastAsia="zh-CN"/>
        </w:rPr>
        <w:t>邮编：315200</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default" w:cs="Times New Roman"/>
          <w:color w:val="auto"/>
          <w:highlight w:val="none"/>
          <w:lang w:val="en-US" w:eastAsia="zh-CN"/>
        </w:rPr>
        <w:t>通讯地址：浙江省宁波市镇海区沿江东路17</w:t>
      </w:r>
      <w:bookmarkStart w:id="14" w:name="_Toc20860"/>
      <w:bookmarkStart w:id="15" w:name="_Toc8555"/>
      <w:r>
        <w:rPr>
          <w:rFonts w:hint="eastAsia" w:cs="Times New Roman"/>
          <w:color w:val="auto"/>
          <w:highlight w:val="none"/>
          <w:lang w:val="en-US" w:eastAsia="zh-CN"/>
        </w:rPr>
        <w:t>3</w:t>
      </w:r>
    </w:p>
    <w:p>
      <w:pPr>
        <w:rPr>
          <w:rFonts w:hint="eastAsia" w:cs="Times New Roman"/>
          <w:color w:val="auto"/>
          <w:highlight w:val="none"/>
          <w:lang w:val="en-US" w:eastAsia="zh-CN"/>
        </w:rPr>
      </w:pPr>
      <w:r>
        <w:rPr>
          <w:rFonts w:hint="eastAsia" w:cs="Times New Roman"/>
          <w:color w:val="auto"/>
          <w:highlight w:val="none"/>
          <w:lang w:val="en-US" w:eastAsia="zh-CN"/>
        </w:rPr>
        <w:br w:type="page"/>
      </w:r>
    </w:p>
    <w:p>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default" w:ascii="Times New Roman" w:hAnsi="Times New Roman" w:cs="Times New Roman"/>
          <w:color w:val="auto"/>
          <w:highlight w:val="none"/>
        </w:rPr>
      </w:pPr>
      <w:r>
        <w:rPr>
          <w:rFonts w:hint="default" w:ascii="Times New Roman" w:hAnsi="Times New Roman" w:eastAsia="宋体" w:cs="Times New Roman"/>
          <w:b/>
          <w:bCs/>
          <w:color w:val="auto"/>
          <w:kern w:val="44"/>
          <w:sz w:val="30"/>
          <w:szCs w:val="44"/>
          <w:highlight w:val="none"/>
          <w:lang w:val="en-US" w:eastAsia="zh-CN" w:bidi="ar-SA"/>
        </w:rPr>
        <w:t>第二章  招标需求</w:t>
      </w:r>
      <w:bookmarkEnd w:id="14"/>
      <w:bookmarkEnd w:id="15"/>
    </w:p>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bookmarkStart w:id="16" w:name="_Toc3488"/>
      <w:bookmarkStart w:id="17" w:name="_Toc5056"/>
      <w:bookmarkStart w:id="18" w:name="_Toc21325"/>
      <w:r>
        <w:rPr>
          <w:rFonts w:hint="default" w:cs="Times New Roman"/>
          <w:color w:val="auto"/>
          <w:highlight w:val="none"/>
          <w:lang w:val="en-US" w:eastAsia="zh-CN"/>
        </w:rPr>
        <w:t>招标编号：</w:t>
      </w:r>
      <w:bookmarkEnd w:id="16"/>
      <w:bookmarkEnd w:id="17"/>
      <w:bookmarkStart w:id="19" w:name="_Toc27620"/>
      <w:bookmarkStart w:id="20" w:name="_Toc9451"/>
      <w:r>
        <w:rPr>
          <w:rFonts w:hint="default" w:cs="Times New Roman"/>
          <w:color w:val="auto"/>
          <w:highlight w:val="none"/>
          <w:lang w:val="en-US" w:eastAsia="zh-CN"/>
        </w:rPr>
        <w:t>Z</w:t>
      </w:r>
    </w:p>
    <w:bookmarkEnd w:id="19"/>
    <w:bookmarkEnd w:id="20"/>
    <w:p>
      <w:pPr>
        <w:keepNext w:val="0"/>
        <w:keepLines w:val="0"/>
        <w:pageBreakBefore w:val="0"/>
        <w:widowControl w:val="0"/>
        <w:kinsoku/>
        <w:wordWrap/>
        <w:overflowPunct/>
        <w:topLinePunct w:val="0"/>
        <w:autoSpaceDE/>
        <w:autoSpaceDN/>
        <w:bidi w:val="0"/>
        <w:spacing w:line="360" w:lineRule="auto"/>
        <w:textAlignment w:val="auto"/>
        <w:rPr>
          <w:rFonts w:hint="default" w:cs="Times New Roman"/>
          <w:color w:val="auto"/>
          <w:highlight w:val="none"/>
          <w:lang w:val="en-US" w:eastAsia="zh-CN"/>
        </w:rPr>
      </w:pPr>
      <w:bookmarkStart w:id="21" w:name="_Toc28120"/>
      <w:bookmarkStart w:id="22" w:name="_Toc2242"/>
      <w:r>
        <w:rPr>
          <w:rFonts w:hint="default" w:cs="Times New Roman"/>
          <w:color w:val="auto"/>
          <w:highlight w:val="none"/>
          <w:lang w:val="en-US" w:eastAsia="zh-CN"/>
        </w:rPr>
        <w:t>招标人：</w:t>
      </w:r>
      <w:r>
        <w:rPr>
          <w:rFonts w:hint="eastAsia" w:cs="Times New Roman"/>
          <w:color w:val="auto"/>
          <w:highlight w:val="none"/>
          <w:lang w:val="en-US" w:eastAsia="zh-CN"/>
        </w:rPr>
        <w:t>宁波油港轮驳有限公司</w:t>
      </w:r>
    </w:p>
    <w:p>
      <w:pPr>
        <w:pStyle w:val="4"/>
        <w:keepNext w:val="0"/>
        <w:keepLines w:val="0"/>
        <w:pageBreakBefore w:val="0"/>
        <w:numPr>
          <w:ilvl w:val="0"/>
          <w:numId w:val="1"/>
        </w:numPr>
        <w:kinsoku/>
        <w:wordWrap/>
        <w:overflowPunct/>
        <w:topLinePunct w:val="0"/>
        <w:autoSpaceDE/>
        <w:autoSpaceDN/>
        <w:bidi w:val="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招标内容</w:t>
      </w:r>
      <w:bookmarkEnd w:id="21"/>
      <w:bookmarkEnd w:id="22"/>
    </w:p>
    <w:tbl>
      <w:tblPr>
        <w:tblStyle w:val="1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09"/>
        <w:gridCol w:w="67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8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项目名称</w:t>
            </w:r>
          </w:p>
        </w:tc>
        <w:tc>
          <w:tcPr>
            <w:tcW w:w="67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宁波油港轮驳有限公司【甬港拖33】轮修理</w:t>
            </w:r>
            <w:r>
              <w:rPr>
                <w:rFonts w:hint="default" w:cs="Times New Roman"/>
                <w:color w:val="auto"/>
                <w:highlight w:val="none"/>
                <w:lang w:val="en-US" w:eastAsia="zh-CN"/>
              </w:rPr>
              <w:t>项目</w:t>
            </w:r>
            <w:r>
              <w:rPr>
                <w:rFonts w:hint="eastAsia" w:cs="Times New Roman"/>
                <w:color w:val="auto"/>
                <w:highlight w:val="none"/>
                <w:lang w:val="en-US" w:eastAsia="zh-CN"/>
              </w:rPr>
              <w:t>（2026年度）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8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cs="Times New Roman"/>
                <w:color w:val="auto"/>
                <w:highlight w:val="none"/>
                <w:lang w:val="en-US" w:eastAsia="zh-CN"/>
              </w:rPr>
            </w:pPr>
            <w:r>
              <w:rPr>
                <w:rFonts w:hint="eastAsia" w:cs="Times New Roman"/>
                <w:color w:val="auto"/>
                <w:highlight w:val="none"/>
                <w:lang w:val="en-US" w:eastAsia="zh-CN"/>
              </w:rPr>
              <w:t>招标内容</w:t>
            </w:r>
          </w:p>
        </w:tc>
        <w:tc>
          <w:tcPr>
            <w:tcW w:w="67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详情见甬港拖33轮厂修工程单</w:t>
            </w:r>
          </w:p>
        </w:tc>
      </w:tr>
    </w:tbl>
    <w:p>
      <w:pPr>
        <w:pStyle w:val="4"/>
        <w:keepNext w:val="0"/>
        <w:keepLines w:val="0"/>
        <w:pageBreakBefore w:val="0"/>
        <w:numPr>
          <w:ilvl w:val="0"/>
          <w:numId w:val="1"/>
        </w:numPr>
        <w:kinsoku/>
        <w:wordWrap/>
        <w:overflowPunct/>
        <w:topLinePunct w:val="0"/>
        <w:autoSpaceDE/>
        <w:autoSpaceDN/>
        <w:bidi w:val="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商务要求</w:t>
      </w:r>
    </w:p>
    <w:tbl>
      <w:tblPr>
        <w:tblStyle w:val="16"/>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3"/>
        <w:gridCol w:w="6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96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cs="Times New Roman"/>
                <w:color w:val="auto"/>
                <w:highlight w:val="none"/>
                <w:lang w:val="en-US" w:eastAsia="zh-CN"/>
              </w:rPr>
            </w:pPr>
            <w:r>
              <w:rPr>
                <w:rFonts w:hint="default" w:ascii="Times New Roman" w:hAnsi="Times New Roman" w:cs="Times New Roman"/>
                <w:color w:val="auto"/>
                <w:highlight w:val="none"/>
              </w:rPr>
              <w:t>★</w:t>
            </w:r>
            <w:r>
              <w:rPr>
                <w:rFonts w:hint="eastAsia" w:cs="Times New Roman"/>
                <w:color w:val="auto"/>
                <w:highlight w:val="none"/>
                <w:lang w:val="en-US" w:eastAsia="zh-CN"/>
              </w:rPr>
              <w:t>1</w:t>
            </w:r>
          </w:p>
        </w:tc>
        <w:tc>
          <w:tcPr>
            <w:tcW w:w="671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质保要求：运动部件3个月，非运动部件6个月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196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s="Times New Roman"/>
                <w:color w:val="auto"/>
                <w:highlight w:val="none"/>
                <w:lang w:val="en-US" w:eastAsia="zh-CN"/>
              </w:rPr>
            </w:pPr>
            <w:r>
              <w:rPr>
                <w:rFonts w:hint="default" w:ascii="Times New Roman" w:hAnsi="Times New Roman" w:cs="Times New Roman"/>
                <w:color w:val="auto"/>
                <w:highlight w:val="none"/>
              </w:rPr>
              <w:t>★</w:t>
            </w:r>
            <w:r>
              <w:rPr>
                <w:rFonts w:hint="eastAsia" w:cs="Times New Roman"/>
                <w:color w:val="auto"/>
                <w:highlight w:val="none"/>
                <w:lang w:val="en-US" w:eastAsia="zh-CN"/>
              </w:rPr>
              <w:t>2</w:t>
            </w:r>
          </w:p>
        </w:tc>
        <w:tc>
          <w:tcPr>
            <w:tcW w:w="671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cs="Times New Roman"/>
                <w:color w:val="auto"/>
                <w:highlight w:val="none"/>
                <w:lang w:val="en-US" w:eastAsia="zh-CN"/>
              </w:rPr>
            </w:pPr>
            <w:r>
              <w:rPr>
                <w:rFonts w:hint="eastAsia" w:cs="Times New Roman"/>
                <w:color w:val="auto"/>
                <w:highlight w:val="none"/>
                <w:lang w:val="en-US" w:eastAsia="zh-CN"/>
              </w:rPr>
              <w:t>服务期限：</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限定最长修理周期22日历天(其中坞期不少于8日历天)，预计进厂时间2026年3月上旬，自船舶进厂后第二天开始计算。投标人根据修理项目内容可以自行确定修理周期，但不能超过业主限定期限。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196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s="Times New Roman"/>
                <w:color w:val="auto"/>
                <w:highlight w:val="none"/>
                <w:lang w:val="en-US" w:eastAsia="zh-CN"/>
              </w:rPr>
            </w:pPr>
            <w:r>
              <w:rPr>
                <w:rFonts w:hint="eastAsia" w:cs="Times New Roman"/>
                <w:color w:val="auto"/>
                <w:highlight w:val="none"/>
                <w:lang w:val="en-US" w:eastAsia="zh-CN"/>
              </w:rPr>
              <w:t>★3</w:t>
            </w:r>
          </w:p>
        </w:tc>
        <w:tc>
          <w:tcPr>
            <w:tcW w:w="671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cs="Times New Roman"/>
                <w:color w:val="auto"/>
                <w:highlight w:val="none"/>
                <w:lang w:val="en-US" w:eastAsia="zh-CN"/>
              </w:rPr>
            </w:pPr>
            <w:r>
              <w:rPr>
                <w:rFonts w:hint="eastAsia" w:cs="Times New Roman"/>
                <w:color w:val="auto"/>
                <w:highlight w:val="none"/>
                <w:lang w:val="en-US" w:eastAsia="zh-CN"/>
              </w:rPr>
              <w:t>付款方式</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cs="Times New Roman"/>
                <w:color w:val="auto"/>
                <w:highlight w:val="none"/>
                <w:lang w:val="en-US" w:eastAsia="zh-CN"/>
              </w:rPr>
            </w:pPr>
            <w:r>
              <w:rPr>
                <w:rFonts w:hint="eastAsia" w:cs="Times New Roman"/>
                <w:color w:val="auto"/>
                <w:highlight w:val="none"/>
                <w:lang w:val="en-US" w:eastAsia="zh-CN"/>
              </w:rPr>
              <w:t>1、双方的全部往来结算方式，均凭正式发票或收据通过银行进行结算。方式可采用银行电汇或银行承兑汇票结算，不采取现金结算。</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2</w:t>
            </w:r>
            <w:r>
              <w:rPr>
                <w:rFonts w:hint="default" w:cs="Times New Roman"/>
                <w:color w:val="auto"/>
                <w:highlight w:val="none"/>
                <w:lang w:val="en-US" w:eastAsia="zh-CN"/>
              </w:rPr>
              <w:t>、</w:t>
            </w:r>
            <w:r>
              <w:rPr>
                <w:rFonts w:hint="eastAsia" w:cs="Times New Roman"/>
                <w:color w:val="auto"/>
                <w:highlight w:val="none"/>
                <w:lang w:val="en-US" w:eastAsia="zh-CN"/>
              </w:rPr>
              <w:t>船舶维修完成经招标人验收合格后，修理结束交船并提供有关检修报告等技术资料后，双方根据第三方“公估公司”的审核价格对该次维修费用总额进行核对确认，中标人向招标人出具符合税务部门规范的全额增值税专用发票，税率为13%，招标人收到前述发票后在二十天内支付中标人该单次维修费总额90%的维修费，剩余10%的维修费作为质保金。质保期满后，经招标人确认，在固定件质保期6个月内确未发现维修质量问题，设备运转正常，招标人应当凭中标人出具的有效收据，将质保金无息付给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6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cs="Times New Roman"/>
                <w:color w:val="auto"/>
                <w:highlight w:val="none"/>
                <w:lang w:val="en-US" w:eastAsia="zh-CN"/>
              </w:rPr>
            </w:pPr>
            <w:r>
              <w:rPr>
                <w:rFonts w:hint="eastAsia" w:cs="Times New Roman"/>
                <w:color w:val="auto"/>
                <w:highlight w:val="none"/>
                <w:lang w:val="en-US" w:eastAsia="zh-CN"/>
              </w:rPr>
              <w:t>4</w:t>
            </w:r>
          </w:p>
        </w:tc>
        <w:tc>
          <w:tcPr>
            <w:tcW w:w="671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cs="Times New Roman"/>
                <w:color w:val="auto"/>
                <w:highlight w:val="none"/>
                <w:lang w:val="en-US" w:eastAsia="zh-CN"/>
              </w:rPr>
            </w:pPr>
            <w:r>
              <w:rPr>
                <w:rFonts w:hint="eastAsia" w:cs="Times New Roman"/>
                <w:color w:val="auto"/>
                <w:highlight w:val="none"/>
                <w:lang w:val="en-US" w:eastAsia="zh-CN"/>
              </w:rPr>
              <w:t>合同签订：</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cs="Times New Roman"/>
                <w:color w:val="auto"/>
                <w:highlight w:val="none"/>
                <w:lang w:val="en-US" w:eastAsia="zh-CN"/>
              </w:rPr>
            </w:pPr>
            <w:r>
              <w:rPr>
                <w:rFonts w:hint="eastAsia" w:cs="Times New Roman"/>
                <w:color w:val="auto"/>
                <w:highlight w:val="none"/>
                <w:lang w:val="en-US" w:eastAsia="zh-CN"/>
              </w:rPr>
              <w:t>本项目最终合同由宁波油港轮驳有限公司与中标单位直接签订。</w:t>
            </w:r>
          </w:p>
        </w:tc>
      </w:tr>
    </w:tbl>
    <w:p>
      <w:pPr>
        <w:pStyle w:val="4"/>
        <w:keepNext w:val="0"/>
        <w:keepLines w:val="0"/>
        <w:pageBreakBefore w:val="0"/>
        <w:numPr>
          <w:ilvl w:val="0"/>
          <w:numId w:val="1"/>
        </w:numPr>
        <w:kinsoku/>
        <w:wordWrap/>
        <w:overflowPunct/>
        <w:topLinePunct w:val="0"/>
        <w:autoSpaceDE/>
        <w:autoSpaceDN/>
        <w:bidi w:val="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技术需求</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1.工期要求：限定最长修理周期22日历天(其中坞期不少于8日历天)，预计进厂时间2026年3月上旬。投标人根据修理项目内容可以自行确定修理周期，但不能超过招标人限定期限。</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2.质保要求：运动部件3个月，非运动部件6个月。</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3.项目设施：船厂应具有满足本项目所需的修理场所及设施（包括船坞、码头、起重设施、专业车间、高空车、脚手架、现场安全设施等）。</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4.人员配备：船厂需有专业的管理人员、技术人员、及专业队伍。</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5.本项目应符合：中国人民共和国海事局《国内航行海船法定检验技术规则》；《国内航行海船建造规范》；</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6.需要经船级社检验认可验收的项目，需船级社现场验船师及船舶主要管理人员（船长、大副、轮机长）认可验收；</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7.其他项目须修船代表及船舶主要管理人员（船长、大副、轮机长）认可验收；</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8.现场机务代表发现修理项目签字确认单内容与实际项目内容及质量不符时，有更正的权利；</w:t>
      </w:r>
    </w:p>
    <w:p>
      <w:pPr>
        <w:pStyle w:val="4"/>
        <w:keepNext w:val="0"/>
        <w:keepLines w:val="0"/>
        <w:pageBreakBefore w:val="0"/>
        <w:numPr>
          <w:ilvl w:val="0"/>
          <w:numId w:val="1"/>
        </w:numPr>
        <w:kinsoku/>
        <w:wordWrap/>
        <w:overflowPunct/>
        <w:topLinePunct w:val="0"/>
        <w:autoSpaceDE/>
        <w:autoSpaceDN/>
        <w:bidi w:val="0"/>
        <w:spacing w:line="360" w:lineRule="auto"/>
        <w:rPr>
          <w:rFonts w:hint="default" w:ascii="Times New Roman" w:hAnsi="Times New Roman" w:cs="Times New Roman"/>
          <w:color w:val="auto"/>
          <w:highlight w:val="none"/>
        </w:rPr>
      </w:pPr>
      <w:r>
        <w:rPr>
          <w:rFonts w:hint="eastAsia" w:ascii="Times New Roman" w:hAnsi="Times New Roman" w:cs="Times New Roman"/>
          <w:color w:val="auto"/>
          <w:highlight w:val="none"/>
        </w:rPr>
        <w:t>★</w:t>
      </w:r>
      <w:r>
        <w:rPr>
          <w:rFonts w:hint="eastAsia" w:ascii="Times New Roman" w:hAnsi="Times New Roman" w:cs="Times New Roman"/>
          <w:color w:val="auto"/>
          <w:highlight w:val="none"/>
          <w:lang w:val="en-US" w:eastAsia="zh-CN"/>
        </w:rPr>
        <w:t>安全准入要求：</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bookmarkStart w:id="23" w:name="_Toc22603"/>
      <w:r>
        <w:rPr>
          <w:rFonts w:hint="eastAsia" w:cs="Times New Roman"/>
          <w:color w:val="auto"/>
          <w:highlight w:val="none"/>
          <w:lang w:val="en-US" w:eastAsia="zh-CN"/>
        </w:rPr>
        <w:t>1.有良好的行业口碑，无重大安全、质量事故记录，提供无重大安全、质量事故承诺书（须加盖公章）。（投标文件中提供承诺函，格式见附件）</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2.参与本项目作业人员需具备一年以上相关作业资历，需提供佐证材料（备查）（投标文件中提供承诺函，格式见附件）</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3.涉及特殊作业，如动火作业等须具备相应资质证书。（投标文件中提供承诺函，格式见附件）</w:t>
      </w:r>
    </w:p>
    <w:p>
      <w:pPr>
        <w:keepNext w:val="0"/>
        <w:keepLines w:val="0"/>
        <w:pageBreakBefore w:val="0"/>
        <w:widowControl w:val="0"/>
        <w:kinsoku/>
        <w:wordWrap/>
        <w:overflowPunct/>
        <w:topLinePunct w:val="0"/>
        <w:autoSpaceDE/>
        <w:autoSpaceDN/>
        <w:bidi w:val="0"/>
        <w:spacing w:line="360" w:lineRule="auto"/>
        <w:textAlignment w:val="auto"/>
        <w:rPr>
          <w:rFonts w:hint="eastAsia" w:cs="Times New Roman"/>
          <w:color w:val="auto"/>
          <w:highlight w:val="none"/>
          <w:lang w:val="en-US" w:eastAsia="zh-CN"/>
        </w:rPr>
      </w:pPr>
      <w:r>
        <w:rPr>
          <w:rFonts w:hint="eastAsia" w:cs="Times New Roman"/>
          <w:color w:val="auto"/>
          <w:highlight w:val="none"/>
          <w:lang w:val="en-US" w:eastAsia="zh-CN"/>
        </w:rPr>
        <w:t>4.公司所承担业务外包范围内近3年内无1人死亡及以上安全生产责任事故（含劳务外包人员），未被列入安全生产严重失信主体名单。</w:t>
      </w:r>
    </w:p>
    <w:p>
      <w:pPr>
        <w:pStyle w:val="4"/>
        <w:keepNext w:val="0"/>
        <w:keepLines w:val="0"/>
        <w:pageBreakBefore w:val="0"/>
        <w:numPr>
          <w:ilvl w:val="0"/>
          <w:numId w:val="1"/>
        </w:numPr>
        <w:kinsoku/>
        <w:wordWrap/>
        <w:overflowPunct/>
        <w:topLinePunct w:val="0"/>
        <w:autoSpaceDE/>
        <w:autoSpaceDN/>
        <w:bidi w:val="0"/>
        <w:spacing w:line="36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甬港拖</w:t>
      </w:r>
      <w:r>
        <w:rPr>
          <w:rFonts w:hint="eastAsia" w:cs="Times New Roman"/>
          <w:color w:val="auto"/>
          <w:highlight w:val="none"/>
          <w:lang w:val="en-US" w:eastAsia="zh-CN"/>
        </w:rPr>
        <w:t>33</w:t>
      </w:r>
      <w:r>
        <w:rPr>
          <w:rFonts w:hint="eastAsia" w:ascii="Times New Roman" w:hAnsi="Times New Roman" w:cs="Times New Roman"/>
          <w:color w:val="auto"/>
          <w:highlight w:val="none"/>
          <w:lang w:val="en-US" w:eastAsia="zh-CN"/>
        </w:rPr>
        <w:t>轮厂修工程单</w:t>
      </w:r>
    </w:p>
    <w:tbl>
      <w:tblPr>
        <w:tblStyle w:val="16"/>
        <w:tblW w:w="101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4"/>
        <w:gridCol w:w="6014"/>
        <w:gridCol w:w="832"/>
        <w:gridCol w:w="927"/>
        <w:gridCol w:w="15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5" w:hRule="atLeast"/>
          <w:jc w:val="center"/>
        </w:trPr>
        <w:tc>
          <w:tcPr>
            <w:tcW w:w="10159" w:type="dxa"/>
            <w:gridSpan w:val="5"/>
            <w:tcBorders>
              <w:top w:val="nil"/>
              <w:left w:val="nil"/>
              <w:bottom w:val="nil"/>
              <w:right w:val="nil"/>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40"/>
                <w:szCs w:val="40"/>
                <w:highlight w:val="none"/>
                <w:u w:val="none"/>
              </w:rPr>
            </w:pPr>
            <w:r>
              <w:rPr>
                <w:rFonts w:hint="eastAsia" w:ascii="宋体" w:hAnsi="宋体" w:eastAsia="宋体" w:cs="宋体"/>
                <w:b/>
                <w:bCs/>
                <w:i w:val="0"/>
                <w:iCs w:val="0"/>
                <w:color w:val="auto"/>
                <w:kern w:val="0"/>
                <w:sz w:val="40"/>
                <w:szCs w:val="40"/>
                <w:highlight w:val="none"/>
                <w:u w:val="none"/>
                <w:lang w:val="en-US" w:eastAsia="zh-CN" w:bidi="ar"/>
              </w:rPr>
              <w:t>甬港拖33工程说明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10159" w:type="dxa"/>
            <w:gridSpan w:val="5"/>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修理性质：厂修                                     修理船厂：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10159" w:type="dxa"/>
            <w:gridSpan w:val="5"/>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船舶主要项目：建造日期： 2021.5                         建造船厂： 镇江船厂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10159" w:type="dxa"/>
            <w:gridSpan w:val="5"/>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船体部分：总长：   39    M      船宽：   10.6    M        型深： 4.9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10159" w:type="dxa"/>
            <w:gridSpan w:val="5"/>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          尾吃水：   4.5      M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10159" w:type="dxa"/>
            <w:gridSpan w:val="5"/>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设备部分：主机：日本新泻  型号： 型号：6L28HX       额定功率：1840kw1840kw×2    额定转速：750     运行小时：15300 h / 15300 h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jc w:val="center"/>
        </w:trPr>
        <w:tc>
          <w:tcPr>
            <w:tcW w:w="10159" w:type="dxa"/>
            <w:gridSpan w:val="5"/>
            <w:tcBorders>
              <w:top w:val="nil"/>
              <w:left w:val="nil"/>
              <w:bottom w:val="nil"/>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 xml:space="preserve">         付机：康明斯  型号：L8.9CMⅡ211G  额定功率：155kw×2   额定转速：1500rpm      运行小时：  10500 h /  10500 h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jc w:val="center"/>
        </w:trPr>
        <w:tc>
          <w:tcPr>
            <w:tcW w:w="804" w:type="dxa"/>
            <w:tcBorders>
              <w:top w:val="single" w:color="000000" w:sz="8"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6014"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kern w:val="0"/>
                <w:sz w:val="32"/>
                <w:szCs w:val="32"/>
                <w:highlight w:val="none"/>
                <w:u w:val="none"/>
                <w:lang w:val="en-US" w:eastAsia="zh-CN" w:bidi="ar"/>
              </w:rPr>
              <w:t>工  程  内  容</w:t>
            </w:r>
          </w:p>
        </w:tc>
        <w:tc>
          <w:tcPr>
            <w:tcW w:w="832"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927" w:type="dxa"/>
            <w:tcBorders>
              <w:top w:val="single" w:color="000000" w:sz="8"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厂修/自修</w:t>
            </w:r>
          </w:p>
        </w:tc>
        <w:tc>
          <w:tcPr>
            <w:tcW w:w="1582" w:type="dxa"/>
            <w:tcBorders>
              <w:top w:val="single" w:color="000000" w:sz="8"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坞修工程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拖轮进、出船坞各一次.（钢制拖轮）</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（1）2只螺旋桨（Φ2500mm)拆装，不锈钢衬套更换，骨架油封、水封换新；防护罩检查视情修理或更换；防护罩内割刀；渔网割刀检查，视情修理.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备件船供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（2）2只螺旋桨送外专业螺旋桨修理厂修理。桨叶打磨，损坏部分焊补，背面气蚀部分视情修补打磨，螺距测量校正，做静平衡试验（记录并提供报告一式三份）</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（3）导流罩不锈钢内圈腐蚀部位检查，视情焊补，打磨.</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（4）螺旋桨轴探伤，并出具检验证明提供给船方，一式三份。</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（5）2只舵桨滑油抽空后换新滑油（长城卓力L-HM100），滑油数量170公斤*21桶，由厂方负责吊装，废油由公司回收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21桶</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海底阀箱（包含格栅）4只清洁（2只主海底阀箱，1只杂用海底阀箱，1只应急消防泵海底阀箱）除锈，油漆（按水线以下规格），更换锌块，透气管检查疏通。</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油漆，锌块船供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DN300海底阀2只拆装、研磨并试压（4KG/CM²），防锈漆2度，色漆1度，填料更换，填料压盖螺丝更换为不锈钢螺丝，海底阀按要求做密封性试验。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主海水滤器2只，检查清洗，锌块、橡胶O型圈换新。滤器壳体打防锈漆2度，色漆1度。栅格滤网边框修理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油漆、锌块船供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主机自带泵进口海水滤器2只栅格滤网更换不锈钢材质，加装锌块，滤器壳内除锈并涂防锈漆2涂，进出口除杂。</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油漆，锌块船供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应急消防泵DN65海底阀1只,研磨试压（4KG/CM²）,海底滤器1只清洗，锌块更换，滤器内部除锈油漆。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油漆，锌块船供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防浪阀4只拆检活络（DN65二只，DN80一只，DN100一只）,清洁除锈并涂防锈漆2度。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付机DN80海底阀1只研磨试压（4KG/C㎡）</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斯贝克锚780Kg*2只，锚链ø26mm*13节（左6右7）出船放坞底,除锈活络，油环氧沥青厚浆型防锈漆2度，做好锚链警醒标志；锚链测量并记录，各第一节锚链换至最后一节，连接链环视情换新；锚及锚链环活络，弃链器装置检查，更换牛油嘴，加满牛油，止链器、链接链环、转环等装置拆活，视情况换新，并按要求上漆。【两条锚链面漆倒数第一节整体红色，倒数第二节整体黄色】</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沥青防锈漆厂供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锚链舱2只，道门拆装，内部清洁除锈，油环氧沥青厚浆型防锈漆846-1，846-2各一度。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30m³</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沥青防锈漆厂供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帆缆舱舱底排水除锈，检查油漆情况，局部除锈，补涂防锈漆2度，面漆2度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20m³*2只日用淡水舱道门拆装，高压水冲洗1度，局部除锈、淡水舱补涂高标水泥浆1度后通涂高标水泥浆1度，待干，冲洗，水加满后换水三次。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四个对外淡水加注舱（28.9m³*2，13.7m³*2）道门拆装，高压水冲洗1度，局部除锈、补水舱漆，淡水舱补涂高标水泥浆1度后通涂高标水泥浆1度，待干，冲洗，水加满后换水三次。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6道水尺，载重线，船名，船籍港，编号，拼音除锈后油漆重描。</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水线以上、主甲板以下及护舷及舷墙外板面sa1级喷砂出白，除锈，涂环氧底漆2度，通涂丙烯酸聚氨酯面漆2度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线以下船体（包括导流管，舭水板，分水舯和海底阀箱及格栅等）铲除海生物，用高压淡水冲洗1度，喷砂出白，涂环氧底漆2度，涂连接漆1度，通涂防污漆2度，并取得防污底证书。服务商确认工序。做好测深仪探头玻璃保护。</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8"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全船锌块54块换新，其中船体锌块30块（尺寸300×150×50cm）；舵桨导流罩锌块24块（尺寸300*200*50）换新，全部在原位置换新，衬好橡皮原锌块马脚割除，并打磨平整。</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锌块船供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淡水舱6个船底放水塞拆装，罗牙修正，水泥封妥。</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船首橡胶大靠扎带40根换新。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扎带船供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船艏飞机轮胎16只更换（含轮胎扎带及卸扣更换）。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轮胎、吊带船供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左右舷飞机轮胎吊带换新60根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扎带船供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橡胶大靠花兰螺栓更换4只。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花篮螺丝船供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二</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 xml:space="preserve">甲板工程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主桅及附件（爬梯、航行、信号灯固定底板）局部除锈，除锈部分油防锈漆2度面漆1度，通油相应面漆1度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舷墙内侧及压沿（包括系榄桩6对、导缆孔6只、透气管、注入管等附件）局部除锈，除锈部分油防锈漆2度，通油相应面漆2度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主甲板、ZP甲板 、罗经甲板、桥楼甲板、拖钩甲板、驾驶甲板等包括所有附件（艉横担、通风筒16个、主甲板管路等、透气帽、法兰盘）局部除锈，除锈部分油防锈漆2度，通油相应面漆2度；主甲板，艉甲板相应部位铺防滑沙</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船首带缆平台玻璃网格栅拆装，驾驶甲板两侧格栅拆装，绞缆机平台的格栅拆装</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船首带缆平台架子和大缆桩局部除锈，除锈部分油防锈漆2度，通油相应面漆2度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驾驶甲板两侧平台架子除锈，除锈部分油防锈漆2度，通油相应面漆2度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绞缆机平台架子除锈，除锈部分油防锈漆2度，通油相应面漆2度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室外各层甲板的楼梯及踏步局部除锈，除锈部分油防锈漆2度，通油相应面漆2度。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33部</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上层建筑围壁共三层局部除锈，除锈部分油防锈漆2度，通油相应面漆2度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各层水密门内外（大6扇、小5扇）局部除锈，除锈部分油防锈漆2度面漆1度，通油相应面漆1度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甲板4只水龙带箱及底脚螺栓局部除锈，除锈部分油防锈漆2度面漆1度，通油相应面漆1度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甲板设施（包括2台锚机、1个拖钩、1个绞盘）局部除锈，除锈部分油防锈漆2度面漆1度，通油相应面漆1度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全船栏杆、暴风扶手局部除锈，除锈部分油防锈漆2度面漆1度，通油相应面漆1度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200m</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全船的标志标识根据要求喷漆做好，甲板设备IMO标识按规定重新张贴（我公司提供标准）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标识船供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船艏物料间、电瓶间，仓库间等局部除锈，除锈部分油防锈漆2度，通油相应面漆2度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主甲板1个下水口疏通。</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厨房水槽下水拆管4米，下水孔1只疏通。</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18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color w:val="auto"/>
                <w:sz w:val="22"/>
                <w:szCs w:val="22"/>
                <w:highlight w:val="none"/>
                <w:u w:val="none"/>
                <w:lang w:val="en-US" w:eastAsia="zh-CN" w:bidi="ar"/>
              </w:rPr>
              <w:t>洗浴间、卫生间3个地漏下水孔疏通，</w:t>
            </w:r>
            <w:r>
              <w:rPr>
                <w:rFonts w:hint="eastAsia" w:ascii="宋体" w:hAnsi="宋体" w:eastAsia="宋体" w:cs="宋体"/>
                <w:strike/>
                <w:color w:val="auto"/>
                <w:sz w:val="22"/>
                <w:szCs w:val="22"/>
                <w:highlight w:val="none"/>
                <w:lang w:val="en-US" w:eastAsia="zh-CN" w:bidi="ar"/>
              </w:rPr>
              <w:t>各</w:t>
            </w:r>
            <w:r>
              <w:rPr>
                <w:rFonts w:hint="eastAsia" w:ascii="宋体" w:hAnsi="宋体" w:eastAsia="宋体" w:cs="宋体"/>
                <w:color w:val="auto"/>
                <w:sz w:val="22"/>
                <w:szCs w:val="22"/>
                <w:highlight w:val="none"/>
                <w:u w:val="none"/>
                <w:lang w:val="en-US" w:eastAsia="zh-CN" w:bidi="ar"/>
              </w:rPr>
              <w:t>船员房间洗漱盆下水疏通2只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三</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 xml:space="preserve">轮机工程 主机6L28HX   舵桨ZP-41A  康明斯辅机L8.9CMⅡ211G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主机6L28HX   舵桨ZP-41A</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进坞前，出坞后各测量主机拐档差记录一次。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2"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左右主机各抽检一个缸,气缸头拆卸，进排气阀拆卸，检查阀与座的气密腐蚀情况，视情更换进排气阀，排气阀座及O型圈。气缸头清洁，水腔试压4KG/CM²。视情扩大维修</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左右主机各一个缸套内表面检查磨损情况，并测量缸径数据记录。</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左右主机12只喷油器拔出，清洗、雾化压力330kg/cm²试验校正，视情况换新喷油嘴。</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左右主机凸轮轴箱开放检查，检查凸轮及滚轮磨损情况，并校对喷油定时，检查摇臂机构，及各出油点，并调整气阀间隙。</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左右主机空气启动阀解体清洁，阀芯研磨。</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视情维修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主机空气分配器2只拆检，阀芯检查，清洁。</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机带海水泵2台，更换机械密封、油封、轴承；叶轮、泵轴检查视情更换或加工；传动齿轮外观检查，阻漏环尺寸测量，视情况修理或换新。机械密封及叶轮、油封旧件整理交船方。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备件船供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机带淡水泵2台，更换机械密封、油封、轴承；叶轮、泵轴检查视情更换或加工；传动齿轮外观检查，阻漏环尺寸测量，视情况修理或换新。机械密封及叶轮、油封旧件整理交船方。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备件船供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左右主机底脚螺丝检查紧固。</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左右主机飞轮高弹联轴器紧固螺丝检查。</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主机安全阀压力试验调整，示功阀研磨气密性检查。</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视情维修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所有传感器检查、间隙确认，主机超速保护试验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中间轴承、万向节检查各连接螺栓紧固情况，加注牛油。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主机附带各种粗、细滤器清洗或滤芯更换（包括备用），主机滑油自清滤器清洁</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主机曲拐箱内部开放性检查，连杆螺栓make校对，出油点检查，油底壳清洁</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曲拐箱透气管油气分离器2个打开清洁，内部清洁球更换,底部污油清理。2只放残拷克拆检，视情换新。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主机滑油长城4012，更换50桶。170KG*44桶（旧油由公司回收，船厂负责吊装）</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50桶</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舵桨油泵（齿轮油壳牌220） 6.5L*4  换新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26L</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舵桨所有滤器清洗，纸质滤器换新。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（二）</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康明斯辅机L8.9CMⅡ211G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2台副机12只电喷喷油器组件拆装、试验台试验，需由康明斯正规官方代理进行维护保养</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需委托正规康明斯代理商检修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康明斯付机缸头罩打开，缸头附件检查；气阀间隙校正</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2台付机冷冻液全部更换，淡水液位观察镜清洁重新安装</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2台付机全部滤器更换，滑油更换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淡水冷却器、滑油冷却器、空冷器检查清洗，锌块更换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两台付机各警报试验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减震器检查；皮带张紧轮检查，自带海水泵注牛油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（三）</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压缩空气系统    空压机型号：2ZF-0.34/30-B(宁波天力)</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主空气瓶200L×2只、副空气瓶200L×1只，内部清洁涂蓖麻油，气瓶做气密试验，安全阀整定并且提供CCS认可的检验报告。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空气瓶进出口阀盘根更换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2台空压机解体，活塞，缸套，轴承检查测量，活塞环、油环视情更换。高低压进排气阀视情更换，空气滤器更换，油底壳滑油更换，卸载阀拆解清洁视情更换。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空压机4只安全阀做起跳试验并提供合格报告。一级0.6-0.8MPA ，二级3.1-3.3MPA</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压缩空气系统管路查漏，气瓶进出口阀加盘根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（四）</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甲板机械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2台绞缆机齿轮箱油进行更换（30L*2）</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左右绞缆机刹车带检查，视情更换。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尾绞盘保养，运转试验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绞缆机动力单元液压油滤器更换，电机联轴节处检查，视情更换弹性联轴节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绞缆机各管路漏点检查，接头紧固，连接处牛油扎带重新包扎</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（五）</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中央空调（大金），型号：USPG15HB</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空调高低压保护效用试验；加热高温保护试验；制冷联锁保护试验。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空调冷却器锌块检查，滤网清洗。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空调电机轴承加注牛油，皮带检查。</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空调水泵2台(型号40CWZ-6)，泵拆检，视情更换轴承、机械密封。</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备件船供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四</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电气工程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两台发电机（斯坦福 CCFT140-Z-W-MYCM，140KW，400V,50Hz）常规检查，清洁，轴承更换，烘潮，测绝缘，视情修理，清洁通风网罩，风叶检查，各接线柱检查，提供修理前后数据。</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轴承船供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负载屏，监控台，各启动箱清洁，接线检查，绝缘测量。</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免维护蓄电池更换10只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全船火警，烟雾报警系统检查，效能试验。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程控电话、声力电话、高频等通导设备检查维护保养</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主机报警板，主配电板内部清洁，接线紧固，各警报安保试验。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油水分离器装置（CYFE-0.25）常规保养，厂方须提供油水分离器排放合格证明。报警装置试验，须打印报警值，出具检验报告。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strike/>
                <w:color w:val="auto"/>
                <w:sz w:val="22"/>
                <w:szCs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主配电板的主开关检验，电压表2只，电流表2只，功率表2只，绝缘表1只，频率表2只，功率因素表2只校验，提供出ccs认可的报告。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1号和2号机舱通风机7.5KW*2，电机拆检清洁，保养、烘干，测绝缘，并提供记录，轴承更换。</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备件船供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五</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其它工程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b/>
                <w:bCs/>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以下冷却器解体清通换锌块并试压。端盖除锈并涂防锈漆，密封圈换新 </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锌块油漆船供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①主机滑油冷却器二台 0.75MPa</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②主机淡水冷却器二台  0.4MPa</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③主机中冷器二台   0.3MPa（需化学蒸煮清洗）  </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④ZP滑油冷却器二台0.45MPa</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⑤ZP液压油冷却器二台 0.5MPa</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以下液舱液柜清洗，道门拆、装，道门床垫换新，船方检查认可，废油由我公司回收。（道门橡皮耐油橡皮）</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材料厂供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①2只柴油日用油柜（1.5m³×2），清洁，用面粉粘干净</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color w:val="auto"/>
                <w:sz w:val="22"/>
                <w:szCs w:val="22"/>
                <w:highlight w:val="none"/>
                <w:u w:val="none"/>
                <w:lang w:val="en-US" w:eastAsia="zh-CN" w:bidi="ar"/>
              </w:rPr>
              <w:t>②2只主机滑油循环油舱（5.5m</w:t>
            </w:r>
            <w:r>
              <w:rPr>
                <w:rFonts w:hint="eastAsia" w:ascii="宋体" w:hAnsi="宋体" w:eastAsia="宋体" w:cs="宋体"/>
                <w:color w:val="auto"/>
                <w:sz w:val="22"/>
                <w:szCs w:val="22"/>
                <w:highlight w:val="none"/>
                <w:u w:val="none"/>
                <w:vertAlign w:val="superscript"/>
                <w:lang w:val="en-US" w:eastAsia="zh-CN" w:bidi="ar"/>
              </w:rPr>
              <w:t>3</w:t>
            </w:r>
            <w:r>
              <w:rPr>
                <w:rFonts w:hint="eastAsia" w:ascii="宋体" w:hAnsi="宋体" w:eastAsia="宋体" w:cs="宋体"/>
                <w:color w:val="auto"/>
                <w:sz w:val="22"/>
                <w:szCs w:val="22"/>
                <w:highlight w:val="none"/>
                <w:u w:val="none"/>
                <w:lang w:val="en-US" w:eastAsia="zh-CN" w:bidi="ar"/>
              </w:rPr>
              <w:t>×2）用面粉粘干净，根据最新一次化验情况</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③2只主机膨胀水箱清洗（0.45m³*2）</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应急安保系统各报警效用试验。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机舱天窗拆、装一次，用于吊装设备，装复时橡皮密封新做</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材料厂供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生活污水处理装置检查，内部清洗，内置膜2组换新</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2组</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804"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舱（包括舵机间）所有花铝板以上管路，阀门清洁干净，必须经船方认可干净后方可上原漆一度。管路，阀门分色由船方决定。机舱、ZP间花铝板，及花铝板以下清洁约60㎡（包括花铝板及机舱污水井，舵桨间污水井，并用高压水枪冲洗一遍）</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舱底水、污油舱污油、污水约4m³接收处理，（数量按实计）出具海事认可的接收证明</w:t>
            </w:r>
          </w:p>
        </w:tc>
        <w:tc>
          <w:tcPr>
            <w:tcW w:w="83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生活污水约 2.5m³ 接收，（数量按实计）出具海事认可的接收证明。</w:t>
            </w:r>
          </w:p>
        </w:tc>
        <w:tc>
          <w:tcPr>
            <w:tcW w:w="83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nil"/>
              <w:left w:val="nil"/>
              <w:bottom w:val="nil"/>
              <w:right w:val="nil"/>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外协坞内接收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磁罗经校正</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舵机间，机舱间围壁、顶部和搁架，肥皂粉清洁干净，白漆通涂一度，面积约   500㎡；机舱设备及花铝板清洁。</w:t>
            </w:r>
          </w:p>
        </w:tc>
        <w:tc>
          <w:tcPr>
            <w:tcW w:w="83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油漆船供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岸电电缆线更换16平方三芯线*100米</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协助船方进行ccs换证检验，以及证书办理相关工作</w:t>
            </w:r>
          </w:p>
        </w:tc>
        <w:tc>
          <w:tcPr>
            <w:tcW w:w="83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6014" w:type="dxa"/>
            <w:tcBorders>
              <w:top w:val="nil"/>
              <w:left w:val="nil"/>
              <w:bottom w:val="single" w:color="000000" w:sz="4" w:space="0"/>
              <w:right w:val="nil"/>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系泊试验，航行试验（厂方配合）。</w:t>
            </w:r>
          </w:p>
        </w:tc>
        <w:tc>
          <w:tcPr>
            <w:tcW w:w="83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804" w:type="dxa"/>
            <w:tcBorders>
              <w:top w:val="single" w:color="000000" w:sz="4" w:space="0"/>
              <w:left w:val="single" w:color="000000" w:sz="8" w:space="0"/>
              <w:bottom w:val="nil"/>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提供船员（16×修理天数）、修理人员（2人×修理天数）住宿，住宿要求带浴室，空调，电视机。</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1项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厂修</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8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注</w:t>
            </w: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1、本船所有管路采用厚壁无缝管（DN80以上，管壁为8mm以上）管路更换后进行酸洗中和，内外热镀锌加工，所有法兰需内外焊接，光车</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8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4"/>
                <w:szCs w:val="24"/>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2、本船所用的钢板需符合国家标准。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b/>
                <w:bCs/>
                <w:i w:val="0"/>
                <w:iCs w:val="0"/>
                <w:color w:val="auto"/>
                <w:sz w:val="24"/>
                <w:szCs w:val="24"/>
                <w:highlight w:val="none"/>
                <w:u w:val="none"/>
              </w:rPr>
            </w:pPr>
          </w:p>
        </w:tc>
        <w:tc>
          <w:tcPr>
            <w:tcW w:w="60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3、厂修项目所需备件除注明船供，其他材料均为厂供，所有油漆船供。</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center"/>
              <w:rPr>
                <w:rFonts w:hint="eastAsia" w:ascii="宋体" w:hAnsi="宋体" w:eastAsia="宋体" w:cs="宋体"/>
                <w:i w:val="0"/>
                <w:iCs w:val="0"/>
                <w:color w:val="auto"/>
                <w:sz w:val="22"/>
                <w:szCs w:val="22"/>
                <w:highlight w:val="none"/>
                <w:u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ind w:firstLine="0" w:firstLineChars="0"/>
              <w:jc w:val="left"/>
              <w:rPr>
                <w:rFonts w:hint="eastAsia" w:ascii="宋体" w:hAnsi="宋体" w:eastAsia="宋体" w:cs="宋体"/>
                <w:i w:val="0"/>
                <w:iCs w:val="0"/>
                <w:color w:val="auto"/>
                <w:sz w:val="22"/>
                <w:szCs w:val="22"/>
                <w:highlight w:val="none"/>
                <w:u w:val="none"/>
              </w:rPr>
            </w:pPr>
          </w:p>
        </w:tc>
      </w:tr>
    </w:tbl>
    <w:p>
      <w:pPr>
        <w:rPr>
          <w:rFonts w:hint="eastAsia"/>
          <w:color w:val="auto"/>
          <w:highlight w:val="none"/>
          <w:lang w:val="en-US" w:eastAsia="zh-CN"/>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keepNext w:val="0"/>
        <w:keepLines w:val="0"/>
        <w:pageBreakBefore w:val="0"/>
        <w:numPr>
          <w:ilvl w:val="12"/>
          <w:numId w:val="0"/>
        </w:numPr>
        <w:kinsoku/>
        <w:wordWrap/>
        <w:overflowPunct/>
        <w:topLinePunct w:val="0"/>
        <w:autoSpaceDE/>
        <w:autoSpaceDN/>
        <w:bidi w:val="0"/>
        <w:adjustRightInd w:val="0"/>
        <w:snapToGrid w:val="0"/>
        <w:spacing w:line="360" w:lineRule="auto"/>
        <w:jc w:val="center"/>
        <w:textAlignment w:val="auto"/>
        <w:rPr>
          <w:rFonts w:hint="default" w:ascii="Times New Roman" w:hAnsi="Times New Roman" w:cs="Times New Roman"/>
          <w:color w:val="auto"/>
          <w:highlight w:val="none"/>
        </w:rPr>
      </w:pPr>
      <w:r>
        <w:rPr>
          <w:rFonts w:hint="default" w:ascii="Times New Roman" w:hAnsi="Times New Roman" w:eastAsia="宋体" w:cs="Times New Roman"/>
          <w:b/>
          <w:bCs/>
          <w:color w:val="auto"/>
          <w:kern w:val="44"/>
          <w:sz w:val="30"/>
          <w:szCs w:val="44"/>
          <w:highlight w:val="none"/>
          <w:lang w:val="en-US" w:eastAsia="zh-CN" w:bidi="ar-SA"/>
        </w:rPr>
        <w:t>第三章  投标人须知</w:t>
      </w:r>
      <w:bookmarkEnd w:id="18"/>
      <w:bookmarkEnd w:id="23"/>
    </w:p>
    <w:p>
      <w:pPr>
        <w:keepNext w:val="0"/>
        <w:keepLines w:val="0"/>
        <w:pageBreakBefore w:val="0"/>
        <w:widowControl w:val="0"/>
        <w:kinsoku/>
        <w:wordWrap/>
        <w:overflowPunct/>
        <w:topLinePunct w:val="0"/>
        <w:autoSpaceDE/>
        <w:autoSpaceDN/>
        <w:bidi w:val="0"/>
        <w:adjustRightInd/>
        <w:snapToGrid w:val="0"/>
        <w:spacing w:line="360" w:lineRule="auto"/>
        <w:ind w:firstLine="0" w:firstLineChars="0"/>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前附表</w:t>
      </w:r>
    </w:p>
    <w:tbl>
      <w:tblPr>
        <w:tblStyle w:val="16"/>
        <w:tblW w:w="94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15"/>
        <w:gridCol w:w="8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序号</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项目名称：</w:t>
            </w:r>
            <w:r>
              <w:rPr>
                <w:rFonts w:hint="eastAsia" w:ascii="Times New Roman" w:hAnsi="Times New Roman" w:eastAsia="宋体" w:cs="Times New Roman"/>
                <w:color w:val="auto"/>
                <w:highlight w:val="none"/>
                <w:lang w:val="en-US" w:eastAsia="zh-CN"/>
              </w:rPr>
              <w:t>宁波油港轮驳有限公司</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甬港拖</w:t>
            </w:r>
            <w:r>
              <w:rPr>
                <w:rFonts w:hint="eastAsia" w:cs="Times New Roman"/>
                <w:color w:val="auto"/>
                <w:highlight w:val="none"/>
                <w:lang w:val="en-US" w:eastAsia="zh-CN"/>
              </w:rPr>
              <w:t>33</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轮修理</w:t>
            </w:r>
            <w:r>
              <w:rPr>
                <w:rFonts w:hint="default" w:ascii="Times New Roman" w:hAnsi="Times New Roman" w:eastAsia="宋体" w:cs="Times New Roman"/>
                <w:color w:val="auto"/>
                <w:highlight w:val="none"/>
                <w:lang w:val="en-US" w:eastAsia="zh-CN"/>
              </w:rPr>
              <w:t>项目</w:t>
            </w:r>
            <w:r>
              <w:rPr>
                <w:rFonts w:hint="eastAsia" w:cs="Times New Roman"/>
                <w:color w:val="auto"/>
                <w:highlight w:val="none"/>
                <w:lang w:val="en-US" w:eastAsia="zh-CN"/>
              </w:rPr>
              <w:t>（2026年度）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投标报价及费用：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b/>
                <w:bCs/>
                <w:color w:val="auto"/>
                <w:highlight w:val="none"/>
              </w:rPr>
            </w:pPr>
            <w:r>
              <w:rPr>
                <w:rFonts w:hint="eastAsia" w:cs="Times New Roman"/>
                <w:b/>
                <w:bCs/>
                <w:color w:val="auto"/>
                <w:highlight w:val="none"/>
                <w:lang w:val="en-US" w:eastAsia="zh-CN"/>
              </w:rPr>
              <w:t>1、本项目为宁波油港轮驳有限公司自主招标项目，不收取招标代理服务费。</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2</w:t>
            </w:r>
            <w:r>
              <w:rPr>
                <w:rFonts w:hint="default" w:ascii="Times New Roman" w:hAnsi="Times New Roman" w:cs="Times New Roman"/>
                <w:color w:val="auto"/>
                <w:highlight w:val="none"/>
              </w:rPr>
              <w:t xml:space="preserve">、不论投标结果如何，投标人均应自行承担所有与投标有关的全部费用。 </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3</w:t>
            </w:r>
            <w:r>
              <w:rPr>
                <w:rFonts w:hint="default" w:ascii="Times New Roman" w:hAnsi="Times New Roman" w:cs="Times New Roman"/>
                <w:color w:val="auto"/>
                <w:highlight w:val="none"/>
              </w:rPr>
              <w:t>、</w:t>
            </w:r>
            <w:r>
              <w:rPr>
                <w:rFonts w:hint="default" w:ascii="Times New Roman" w:hAnsi="Times New Roman" w:cs="Times New Roman"/>
                <w:b/>
                <w:bCs/>
                <w:color w:val="auto"/>
                <w:highlight w:val="none"/>
              </w:rPr>
              <w:t>本次</w:t>
            </w:r>
            <w:r>
              <w:rPr>
                <w:rFonts w:hint="default" w:ascii="Times New Roman" w:hAnsi="Times New Roman" w:cs="Times New Roman"/>
                <w:b/>
                <w:bCs/>
                <w:color w:val="auto"/>
                <w:highlight w:val="none"/>
                <w:lang w:eastAsia="zh-CN"/>
              </w:rPr>
              <w:t>招标控制价</w:t>
            </w:r>
            <w:r>
              <w:rPr>
                <w:rFonts w:hint="eastAsia" w:cs="Times New Roman"/>
                <w:b/>
                <w:bCs/>
                <w:color w:val="auto"/>
                <w:highlight w:val="none"/>
                <w:u w:val="single"/>
                <w:lang w:val="en-US" w:eastAsia="zh-CN"/>
              </w:rPr>
              <w:t>35</w:t>
            </w:r>
            <w:r>
              <w:rPr>
                <w:rFonts w:hint="default" w:ascii="Times New Roman" w:hAnsi="Times New Roman" w:cs="Times New Roman"/>
                <w:b/>
                <w:bCs/>
                <w:color w:val="auto"/>
                <w:highlight w:val="none"/>
              </w:rPr>
              <w:t>万元</w:t>
            </w:r>
            <w:r>
              <w:rPr>
                <w:rFonts w:hint="default" w:ascii="Times New Roman" w:hAnsi="Times New Roman" w:cs="Times New Roman"/>
                <w:color w:val="auto"/>
                <w:highlight w:val="none"/>
              </w:rPr>
              <w:t>，超过</w:t>
            </w:r>
            <w:r>
              <w:rPr>
                <w:rFonts w:hint="default" w:ascii="Times New Roman" w:hAnsi="Times New Roman" w:cs="Times New Roman"/>
                <w:color w:val="auto"/>
                <w:highlight w:val="none"/>
                <w:lang w:eastAsia="zh-CN"/>
              </w:rPr>
              <w:t>招标控制价</w:t>
            </w:r>
            <w:r>
              <w:rPr>
                <w:rFonts w:hint="default" w:ascii="Times New Roman" w:hAnsi="Times New Roman" w:cs="Times New Roman"/>
                <w:color w:val="auto"/>
                <w:highlight w:val="none"/>
              </w:rPr>
              <w:t>的投标为无效标。</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4、</w:t>
            </w:r>
            <w:r>
              <w:rPr>
                <w:rFonts w:hint="eastAsia" w:ascii="宋体" w:hAnsi="宋体" w:cs="宋体"/>
                <w:color w:val="auto"/>
                <w:highlight w:val="none"/>
              </w:rPr>
              <w:t>本项目投标应以含税人民币报价。投标价格已包含了</w:t>
            </w:r>
            <w:r>
              <w:rPr>
                <w:rFonts w:hint="eastAsia" w:ascii="宋体" w:hAnsi="宋体" w:cs="Arial"/>
                <w:bCs/>
                <w:color w:val="auto"/>
                <w:szCs w:val="21"/>
                <w:highlight w:val="none"/>
              </w:rPr>
              <w:t>本项目所需的人工费，</w:t>
            </w:r>
            <w:r>
              <w:rPr>
                <w:rFonts w:hint="eastAsia" w:ascii="宋体" w:hAnsi="宋体" w:cs="宋体"/>
                <w:color w:val="auto"/>
                <w:highlight w:val="none"/>
              </w:rPr>
              <w:t>设备维修的维修费、</w:t>
            </w:r>
            <w:r>
              <w:rPr>
                <w:rFonts w:hint="eastAsia" w:ascii="宋体" w:hAnsi="宋体" w:cs="Arial"/>
                <w:bCs/>
                <w:color w:val="auto"/>
                <w:szCs w:val="21"/>
                <w:highlight w:val="none"/>
              </w:rPr>
              <w:t>材料费、机械费、</w:t>
            </w:r>
            <w:r>
              <w:rPr>
                <w:rFonts w:hint="eastAsia" w:ascii="宋体" w:hAnsi="宋体" w:cs="宋体"/>
                <w:color w:val="auto"/>
                <w:highlight w:val="none"/>
              </w:rPr>
              <w:t>检测费、</w:t>
            </w:r>
            <w:r>
              <w:rPr>
                <w:rFonts w:hint="eastAsia" w:ascii="宋体" w:hAnsi="宋体" w:cs="Arial"/>
                <w:bCs/>
                <w:color w:val="auto"/>
                <w:szCs w:val="21"/>
                <w:highlight w:val="none"/>
              </w:rPr>
              <w:t>企业管理费、规费、利润、</w:t>
            </w:r>
            <w:r>
              <w:rPr>
                <w:rFonts w:hint="eastAsia" w:ascii="宋体" w:hAnsi="宋体" w:cs="宋体"/>
                <w:color w:val="auto"/>
                <w:highlight w:val="none"/>
              </w:rPr>
              <w:t>税费、</w:t>
            </w:r>
            <w:r>
              <w:rPr>
                <w:rFonts w:hint="eastAsia" w:ascii="宋体" w:hAnsi="宋体" w:cs="Arial"/>
                <w:bCs/>
                <w:color w:val="auto"/>
                <w:szCs w:val="21"/>
                <w:highlight w:val="none"/>
              </w:rPr>
              <w:t>保险费、</w:t>
            </w:r>
            <w:r>
              <w:rPr>
                <w:rFonts w:hint="eastAsia" w:ascii="宋体" w:hAnsi="宋体" w:cs="宋体"/>
                <w:color w:val="auto"/>
                <w:highlight w:val="none"/>
              </w:rPr>
              <w:t>运输费、新更换的零部件费用及其它所有费用。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投标保证金</w:t>
            </w:r>
            <w:r>
              <w:rPr>
                <w:rFonts w:hint="eastAsia" w:cs="Times New Roman"/>
                <w:color w:val="auto"/>
                <w:highlight w:val="none"/>
                <w:lang w:eastAsia="zh-CN"/>
              </w:rPr>
              <w:t>：</w:t>
            </w:r>
            <w:r>
              <w:rPr>
                <w:rFonts w:hint="eastAsia" w:cs="Times New Roman"/>
                <w:color w:val="auto"/>
                <w:highlight w:val="none"/>
                <w:lang w:val="en-US" w:eastAsia="zh-CN"/>
              </w:rPr>
              <w:t>详见第一章招标公告。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6"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答疑与澄清：招标人对已发出的招标文件进行必要的澄清和修改时，将在招标公告规定的投标截止时间</w:t>
            </w:r>
            <w:r>
              <w:rPr>
                <w:rFonts w:hint="eastAsia" w:cs="Times New Roman"/>
                <w:color w:val="auto"/>
                <w:highlight w:val="none"/>
                <w:lang w:val="en-US" w:eastAsia="zh-CN"/>
              </w:rPr>
              <w:t>3</w:t>
            </w:r>
            <w:r>
              <w:rPr>
                <w:rFonts w:hint="default" w:ascii="Times New Roman" w:hAnsi="Times New Roman" w:cs="Times New Roman"/>
                <w:color w:val="auto"/>
                <w:highlight w:val="none"/>
              </w:rPr>
              <w:t>日前，在规定信息发布网站上通知所有招标文件</w:t>
            </w:r>
            <w:r>
              <w:rPr>
                <w:rFonts w:hint="default" w:ascii="Times New Roman" w:hAnsi="Times New Roman" w:cs="Times New Roman"/>
                <w:color w:val="auto"/>
                <w:highlight w:val="none"/>
                <w:lang w:eastAsia="zh-CN"/>
              </w:rPr>
              <w:t>收受人</w:t>
            </w:r>
            <w:r>
              <w:rPr>
                <w:rFonts w:hint="default" w:ascii="Times New Roman" w:hAnsi="Times New Roman" w:cs="Times New Roman"/>
                <w:color w:val="auto"/>
                <w:highlight w:val="none"/>
              </w:rPr>
              <w:t>，并要求</w:t>
            </w:r>
            <w:r>
              <w:rPr>
                <w:rFonts w:hint="default" w:ascii="Times New Roman" w:hAnsi="Times New Roman" w:cs="Times New Roman"/>
                <w:color w:val="auto"/>
                <w:highlight w:val="none"/>
                <w:lang w:eastAsia="zh-CN"/>
              </w:rPr>
              <w:t>收受人</w:t>
            </w:r>
            <w:r>
              <w:rPr>
                <w:rFonts w:hint="default" w:ascii="Times New Roman" w:hAnsi="Times New Roman" w:cs="Times New Roman"/>
                <w:color w:val="auto"/>
                <w:highlight w:val="none"/>
              </w:rPr>
              <w:t>进行确认澄清和修改已收悉，澄清和修改的内容作为招标文件的组成部分。招标人根据实际情况，延长投标截止时间的，将在投标截止时间前</w:t>
            </w:r>
            <w:r>
              <w:rPr>
                <w:rFonts w:hint="eastAsia" w:cs="Times New Roman"/>
                <w:color w:val="auto"/>
                <w:highlight w:val="none"/>
                <w:lang w:val="en-US" w:eastAsia="zh-CN"/>
              </w:rPr>
              <w:t>2</w:t>
            </w:r>
            <w:r>
              <w:rPr>
                <w:rFonts w:hint="default" w:ascii="Times New Roman" w:hAnsi="Times New Roman" w:cs="Times New Roman"/>
                <w:color w:val="auto"/>
                <w:highlight w:val="none"/>
              </w:rPr>
              <w:t>日内告知所有招标文件</w:t>
            </w:r>
            <w:r>
              <w:rPr>
                <w:rFonts w:hint="default" w:ascii="Times New Roman" w:hAnsi="Times New Roman" w:cs="Times New Roman"/>
                <w:color w:val="auto"/>
                <w:highlight w:val="none"/>
                <w:lang w:eastAsia="zh-CN"/>
              </w:rPr>
              <w:t>收受人</w:t>
            </w:r>
            <w:r>
              <w:rPr>
                <w:rFonts w:hint="default" w:ascii="Times New Roman" w:hAnsi="Times New Roman" w:cs="Times New Roman"/>
                <w:color w:val="auto"/>
                <w:highlight w:val="none"/>
              </w:rPr>
              <w:t>，并要求回执确认。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投标文件组成：</w:t>
            </w:r>
            <w:r>
              <w:rPr>
                <w:rFonts w:hint="default" w:ascii="Times New Roman" w:hAnsi="Times New Roman" w:cs="Times New Roman"/>
                <w:color w:val="auto"/>
                <w:highlight w:val="none"/>
                <w:lang w:eastAsia="zh-CN"/>
              </w:rPr>
              <w:t>价格标、商务技术标、</w:t>
            </w:r>
            <w:r>
              <w:rPr>
                <w:rFonts w:hint="default" w:ascii="Times New Roman" w:hAnsi="Times New Roman" w:cs="Times New Roman"/>
                <w:color w:val="auto"/>
                <w:highlight w:val="none"/>
                <w:lang w:val="en-US" w:eastAsia="zh-CN"/>
              </w:rPr>
              <w:t>资审文件</w:t>
            </w:r>
            <w:r>
              <w:rPr>
                <w:rFonts w:hint="default" w:ascii="Times New Roman" w:hAnsi="Times New Roman" w:cs="Times New Roman"/>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投标截止时间、地址：详见招标公告。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开标时间、地址：详见招标公告。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8</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评标办法及评分标准：详见第四章。</w:t>
            </w:r>
            <w:r>
              <w:rPr>
                <w:rFonts w:hint="eastAsia" w:ascii="宋体" w:hAnsi="宋体" w:eastAsia="宋体" w:cs="宋体"/>
                <w:color w:val="auto"/>
                <w:sz w:val="21"/>
                <w:szCs w:val="21"/>
                <w:highlight w:val="none"/>
              </w:rPr>
              <w:t>评标委员会推荐中标候选人数：</w:t>
            </w:r>
            <w:r>
              <w:rPr>
                <w:rFonts w:hint="default" w:ascii="Times New Roman" w:hAnsi="Times New Roman" w:cs="Times New Roman"/>
                <w:b/>
                <w:bCs/>
                <w:color w:val="auto"/>
                <w:highlight w:val="none"/>
                <w:u w:val="single"/>
                <w:lang w:val="en-US" w:eastAsia="zh-CN"/>
              </w:rPr>
              <w:t xml:space="preserve"> </w:t>
            </w:r>
            <w:r>
              <w:rPr>
                <w:rFonts w:hint="eastAsia" w:cs="Times New Roman"/>
                <w:b/>
                <w:bCs/>
                <w:color w:val="auto"/>
                <w:highlight w:val="none"/>
                <w:u w:val="single"/>
                <w:lang w:val="en-US" w:eastAsia="zh-CN"/>
              </w:rPr>
              <w:t>2</w:t>
            </w:r>
            <w:r>
              <w:rPr>
                <w:rFonts w:hint="default" w:ascii="Times New Roman" w:hAnsi="Times New Roman" w:cs="Times New Roman"/>
                <w:b/>
                <w:bCs/>
                <w:color w:val="auto"/>
                <w:highlight w:val="none"/>
                <w:u w:val="single"/>
                <w:lang w:val="en-US" w:eastAsia="zh-CN"/>
              </w:rPr>
              <w:t xml:space="preserve">  </w:t>
            </w:r>
            <w:r>
              <w:rPr>
                <w:rFonts w:hint="eastAsia" w:ascii="宋体" w:hAnsi="宋体" w:eastAsia="宋体" w:cs="宋体"/>
                <w:color w:val="auto"/>
                <w:sz w:val="21"/>
                <w:szCs w:val="21"/>
                <w:highlight w:val="none"/>
                <w:lang w:val="en-US" w:eastAsia="zh-CN"/>
              </w:rPr>
              <w:t>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9</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评标结果公示：评标结束后，评标结果于浙江省海港集团、宁波舟山港集团电子招标采购平台（http://hgdzzb.nbport.com.cn/）公示</w:t>
            </w:r>
            <w:r>
              <w:rPr>
                <w:rFonts w:hint="eastAsia" w:cs="Times New Roman"/>
                <w:color w:val="auto"/>
                <w:highlight w:val="none"/>
                <w:lang w:val="en-US" w:eastAsia="zh-CN"/>
              </w:rPr>
              <w:t>不少于3日</w:t>
            </w:r>
            <w:r>
              <w:rPr>
                <w:rFonts w:hint="default" w:ascii="Times New Roman" w:hAnsi="Times New Roman" w:cs="Times New Roman"/>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投标保证金退还：除招标文件规定不予退还保证金的情形外，最迟在签署合同后5日内向投标人退还投标保证金。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11</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签订合同时间：中标通知书发出后30日内。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12</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pStyle w:val="30"/>
              <w:pageBreakBefore w:val="0"/>
              <w:kinsoku/>
              <w:wordWrap/>
              <w:overflowPunct/>
              <w:topLinePunct w:val="0"/>
              <w:autoSpaceDE/>
              <w:autoSpaceDN/>
              <w:bidi w:val="0"/>
              <w:spacing w:line="360" w:lineRule="auto"/>
              <w:ind w:left="0" w:leftChars="0" w:firstLine="0" w:firstLineChars="0"/>
              <w:textAlignment w:val="auto"/>
              <w:rPr>
                <w:rFonts w:hint="eastAsia" w:ascii="Times New Roman" w:hAnsi="Times New Roman" w:eastAsia="宋体" w:cs="Times New Roman"/>
                <w:color w:val="auto"/>
                <w:highlight w:val="none"/>
                <w:lang w:val="en-US" w:eastAsia="zh-CN"/>
              </w:rPr>
            </w:pPr>
            <w:r>
              <w:rPr>
                <w:rFonts w:hint="default"/>
                <w:color w:val="auto"/>
                <w:highlight w:val="none"/>
              </w:rPr>
              <w:t>履约保证金：</w:t>
            </w:r>
            <w:r>
              <w:rPr>
                <w:rFonts w:hint="eastAsia"/>
                <w:color w:val="auto"/>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lang w:val="en-US" w:eastAsia="zh-CN"/>
              </w:rPr>
              <w:t>13</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采购资金来源：自筹。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4</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投标文件有效期：自投标截止日起60天。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5</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本项目采用电子招标，中标单位须在明确中标后、获取中标通知书前将相应的交易服务费缴入平台指定的集团账户（在“投标管家”工具中查看）。</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根据相关要求，自2026年1月1日开始对集团电子招标采购平台上线交易项目收取交易服务费进行调整，具体内容如下：</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招标项目交易服务费收取标准（新）</w:t>
            </w:r>
          </w:p>
          <w:tbl>
            <w:tblPr>
              <w:tblStyle w:val="16"/>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4"/>
              <w:gridCol w:w="3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top"/>
                </w:tcPr>
                <w:p>
                  <w:pPr>
                    <w:pageBreakBefore w:val="0"/>
                    <w:kinsoku/>
                    <w:wordWrap/>
                    <w:overflowPunct/>
                    <w:topLinePunct w:val="0"/>
                    <w:autoSpaceDE/>
                    <w:autoSpaceDN/>
                    <w:bidi w:val="0"/>
                    <w:spacing w:line="360" w:lineRule="auto"/>
                    <w:ind w:firstLine="422"/>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中标价</w:t>
                  </w:r>
                </w:p>
              </w:tc>
              <w:tc>
                <w:tcPr>
                  <w:tcW w:w="3037" w:type="dxa"/>
                  <w:noWrap w:val="0"/>
                  <w:vAlign w:val="top"/>
                </w:tcPr>
                <w:p>
                  <w:pPr>
                    <w:pageBreakBefore w:val="0"/>
                    <w:kinsoku/>
                    <w:wordWrap/>
                    <w:overflowPunct/>
                    <w:topLinePunct w:val="0"/>
                    <w:autoSpaceDE/>
                    <w:autoSpaceDN/>
                    <w:bidi w:val="0"/>
                    <w:spacing w:line="360" w:lineRule="auto"/>
                    <w:ind w:firstLine="422"/>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收费标准（万元）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200万（含）以下</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200万-500万（含）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500万-1000万（含）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1000万-2000万（含）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2000万-5000万（含）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5000万-1亿（含）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1亿-5亿（含）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5亿-10亿（含）</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34"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10亿以上</w:t>
                  </w:r>
                </w:p>
              </w:tc>
              <w:tc>
                <w:tcPr>
                  <w:tcW w:w="3037" w:type="dxa"/>
                  <w:noWrap w:val="0"/>
                  <w:vAlign w:val="center"/>
                </w:tcPr>
                <w:p>
                  <w:pPr>
                    <w:pageBreakBefore w:val="0"/>
                    <w:kinsoku/>
                    <w:wordWrap/>
                    <w:overflowPunct/>
                    <w:topLinePunct w:val="0"/>
                    <w:autoSpaceDE/>
                    <w:autoSpaceDN/>
                    <w:bidi w:val="0"/>
                    <w:spacing w:line="360" w:lineRule="auto"/>
                    <w:ind w:firstLine="42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bl>
          <w:p>
            <w:pPr>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p>
          <w:p>
            <w:pPr>
              <w:pageBreakBefore w:val="0"/>
              <w:kinsoku/>
              <w:wordWrap/>
              <w:overflowPunct/>
              <w:topLinePunct w:val="0"/>
              <w:autoSpaceDE/>
              <w:autoSpaceDN/>
              <w:bidi w:val="0"/>
              <w:adjustRightInd w:val="0"/>
              <w:snapToGrid w:val="0"/>
              <w:spacing w:line="360" w:lineRule="auto"/>
              <w:ind w:right="17" w:rightChars="8"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1.交易服务费由中标单位承担。</w:t>
            </w:r>
          </w:p>
          <w:p>
            <w:pPr>
              <w:pageBreakBefore w:val="0"/>
              <w:kinsoku/>
              <w:wordWrap/>
              <w:overflowPunct/>
              <w:topLinePunct w:val="0"/>
              <w:autoSpaceDE/>
              <w:autoSpaceDN/>
              <w:bidi w:val="0"/>
              <w:adjustRightInd w:val="0"/>
              <w:snapToGrid w:val="0"/>
              <w:spacing w:line="360" w:lineRule="auto"/>
              <w:ind w:right="17" w:rightChars="8"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2.对于招标服务期在1年以上且按每年报价的项目，交易服务费按1年的中标金额计取。</w:t>
            </w:r>
          </w:p>
          <w:p>
            <w:pPr>
              <w:pageBreakBefore w:val="0"/>
              <w:kinsoku/>
              <w:wordWrap/>
              <w:overflowPunct/>
              <w:topLinePunct w:val="0"/>
              <w:autoSpaceDE/>
              <w:autoSpaceDN/>
              <w:bidi w:val="0"/>
              <w:adjustRightInd w:val="0"/>
              <w:snapToGrid w:val="0"/>
              <w:spacing w:line="360" w:lineRule="auto"/>
              <w:ind w:right="17" w:rightChars="8"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3.对于无具体交易(中标)金额的限额以上招标采购项目参照项目计划金额计取,对于无具体交易(中标)金额的限额以下招标采购项目按每个项目 1000 元计取，多家中标人费用平摊。</w:t>
            </w:r>
          </w:p>
          <w:p>
            <w:pPr>
              <w:pageBreakBefore w:val="0"/>
              <w:kinsoku/>
              <w:wordWrap/>
              <w:overflowPunct/>
              <w:topLinePunct w:val="0"/>
              <w:autoSpaceDE/>
              <w:autoSpaceDN/>
              <w:bidi w:val="0"/>
              <w:spacing w:line="360" w:lineRule="auto"/>
              <w:ind w:left="0" w:leftChars="0" w:firstLine="0" w:firstLineChars="0"/>
              <w:textAlignment w:val="auto"/>
              <w:rPr>
                <w:rFonts w:hint="default" w:ascii="Times New Roman" w:hAnsi="Times New Roman" w:cs="Times New Roman"/>
                <w:color w:val="auto"/>
                <w:highlight w:val="none"/>
              </w:rPr>
            </w:pPr>
            <w:r>
              <w:rPr>
                <w:rFonts w:hint="eastAsia" w:ascii="宋体" w:hAnsi="宋体" w:eastAsia="宋体" w:cs="宋体"/>
                <w:color w:val="auto"/>
                <w:szCs w:val="21"/>
                <w:highlight w:val="none"/>
              </w:rPr>
              <w:t>4.限额以下非招标项目按实际成交价0.2%收取交易服务费，最高不超过 500 元，5万元以下项目免收交易服务费。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1</w:t>
            </w:r>
            <w:r>
              <w:rPr>
                <w:rFonts w:hint="eastAsia" w:cs="Times New Roman"/>
                <w:color w:val="auto"/>
                <w:szCs w:val="21"/>
                <w:highlight w:val="none"/>
                <w:lang w:val="en-US" w:eastAsia="zh-CN"/>
              </w:rPr>
              <w:t>6</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cs="Times New Roman"/>
                <w:color w:val="auto"/>
                <w:kern w:val="58"/>
                <w:szCs w:val="21"/>
                <w:highlight w:val="none"/>
              </w:rPr>
            </w:pPr>
            <w:r>
              <w:rPr>
                <w:rFonts w:hint="eastAsia" w:ascii="宋体" w:hAnsi="宋体" w:eastAsia="宋体" w:cs="宋体"/>
                <w:color w:val="auto"/>
                <w:kern w:val="0"/>
                <w:sz w:val="21"/>
                <w:szCs w:val="21"/>
                <w:highlight w:val="none"/>
              </w:rPr>
              <w:t>评标委员会的组建</w:t>
            </w:r>
            <w:r>
              <w:rPr>
                <w:rFonts w:hint="eastAsia" w:ascii="宋体" w:hAnsi="宋体" w:eastAsia="宋体" w:cs="宋体"/>
                <w:color w:val="auto"/>
                <w:kern w:val="0"/>
                <w:sz w:val="21"/>
                <w:szCs w:val="21"/>
                <w:highlight w:val="none"/>
                <w:lang w:val="en-US" w:eastAsia="zh-CN"/>
              </w:rPr>
              <w:t>和抽取</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按规定组建和抽取。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hint="eastAsia" w:ascii="Times New Roman" w:hAnsi="Times New Roman" w:eastAsia="宋体" w:cs="Times New Roman"/>
                <w:color w:val="auto"/>
                <w:szCs w:val="21"/>
                <w:highlight w:val="none"/>
                <w:lang w:val="en-US" w:eastAsia="zh-CN"/>
              </w:rPr>
            </w:pPr>
            <w:bookmarkStart w:id="24" w:name="OLE_LINK4"/>
            <w:r>
              <w:rPr>
                <w:rFonts w:eastAsia="宋体"/>
                <w:color w:val="auto"/>
                <w:highlight w:val="none"/>
              </w:rPr>
              <w:t>★</w:t>
            </w:r>
            <w:r>
              <w:rPr>
                <w:rFonts w:eastAsia="宋体"/>
                <w:color w:val="auto"/>
                <w:szCs w:val="21"/>
                <w:highlight w:val="none"/>
              </w:rPr>
              <w:t>1</w:t>
            </w:r>
            <w:r>
              <w:rPr>
                <w:rFonts w:hint="eastAsia" w:eastAsia="宋体"/>
                <w:color w:val="auto"/>
                <w:szCs w:val="21"/>
                <w:highlight w:val="none"/>
                <w:lang w:val="en-US" w:eastAsia="zh-CN"/>
              </w:rPr>
              <w:t>7</w:t>
            </w:r>
            <w:bookmarkEnd w:id="24"/>
          </w:p>
        </w:tc>
        <w:tc>
          <w:tcPr>
            <w:tcW w:w="837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left="0" w:leftChars="0" w:firstLine="0" w:firstLineChars="0"/>
              <w:textAlignment w:val="auto"/>
              <w:rPr>
                <w:rFonts w:hint="default" w:ascii="Times New Roman" w:hAnsi="Times New Roman" w:cs="Times New Roman"/>
                <w:color w:val="auto"/>
                <w:szCs w:val="21"/>
                <w:highlight w:val="none"/>
              </w:rPr>
            </w:pPr>
            <w:r>
              <w:rPr>
                <w:rFonts w:hint="eastAsia" w:ascii="宋体" w:hAnsi="宋体" w:cs="宋体"/>
                <w:b/>
                <w:bCs/>
                <w:color w:val="auto"/>
                <w:szCs w:val="21"/>
                <w:highlight w:val="none"/>
              </w:rPr>
              <w:t>招标代理服务费：</w:t>
            </w:r>
            <w:r>
              <w:rPr>
                <w:rFonts w:hint="eastAsia" w:ascii="宋体" w:hAnsi="宋体" w:cs="宋体"/>
                <w:b/>
                <w:bCs/>
                <w:color w:val="auto"/>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eastAsia="宋体"/>
                <w:color w:val="auto"/>
                <w:highlight w:val="none"/>
              </w:rPr>
            </w:pPr>
            <w:r>
              <w:rPr>
                <w:rFonts w:hint="eastAsia"/>
                <w:color w:val="auto"/>
                <w:highlight w:val="none"/>
                <w:lang w:val="en-US" w:eastAsia="zh-CN"/>
              </w:rPr>
              <w:t>18</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left="0" w:leftChars="0" w:firstLine="0" w:firstLineChars="0"/>
              <w:textAlignment w:val="auto"/>
              <w:rPr>
                <w:rFonts w:hint="eastAsia" w:ascii="宋体" w:hAnsi="宋体" w:cs="宋体"/>
                <w:b/>
                <w:bCs/>
                <w:color w:val="auto"/>
                <w:szCs w:val="21"/>
                <w:highlight w:val="none"/>
              </w:rPr>
            </w:pPr>
            <w:r>
              <w:rPr>
                <w:rFonts w:hint="eastAsia"/>
                <w:color w:val="auto"/>
                <w:highlight w:val="none"/>
                <w:lang w:val="en-US" w:eastAsia="zh-CN"/>
              </w:rPr>
              <w:t>付款方式：详见主要合同条款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eastAsia="宋体"/>
                <w:color w:val="auto"/>
                <w:highlight w:val="none"/>
              </w:rPr>
            </w:pPr>
            <w:r>
              <w:rPr>
                <w:rFonts w:hint="eastAsia"/>
                <w:color w:val="auto"/>
                <w:highlight w:val="none"/>
                <w:lang w:val="en-US" w:eastAsia="zh-CN"/>
              </w:rPr>
              <w:t>19</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1、投标文件所附证书证件及</w:t>
            </w:r>
            <w:r>
              <w:rPr>
                <w:rFonts w:hint="eastAsia" w:ascii="宋体" w:hAnsi="宋体" w:eastAsia="宋体" w:cs="宋体"/>
                <w:color w:val="auto"/>
                <w:kern w:val="0"/>
                <w:sz w:val="21"/>
                <w:szCs w:val="21"/>
                <w:highlight w:val="none"/>
                <w:lang w:eastAsia="zh-CN"/>
              </w:rPr>
              <w:t>业绩</w:t>
            </w:r>
            <w:r>
              <w:rPr>
                <w:rFonts w:hint="eastAsia" w:ascii="宋体" w:hAnsi="宋体" w:eastAsia="宋体" w:cs="宋体"/>
                <w:color w:val="auto"/>
                <w:kern w:val="0"/>
                <w:sz w:val="21"/>
                <w:szCs w:val="21"/>
                <w:highlight w:val="none"/>
              </w:rPr>
              <w:t>证明文件要求：电子投标文件所附证书及</w:t>
            </w:r>
            <w:r>
              <w:rPr>
                <w:rFonts w:hint="eastAsia" w:ascii="宋体" w:hAnsi="宋体" w:eastAsia="宋体" w:cs="宋体"/>
                <w:color w:val="auto"/>
                <w:kern w:val="0"/>
                <w:sz w:val="21"/>
                <w:szCs w:val="21"/>
                <w:highlight w:val="none"/>
                <w:lang w:eastAsia="zh-CN"/>
              </w:rPr>
              <w:t>业绩</w:t>
            </w:r>
            <w:r>
              <w:rPr>
                <w:rFonts w:hint="eastAsia" w:ascii="宋体" w:hAnsi="宋体" w:eastAsia="宋体" w:cs="宋体"/>
                <w:color w:val="auto"/>
                <w:kern w:val="0"/>
                <w:sz w:val="21"/>
                <w:szCs w:val="21"/>
                <w:highlight w:val="none"/>
              </w:rPr>
              <w:t>证明文件要求内容清晰，易于辨认。</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2、电子投标文件上传平台：将电子投标文件加密后递交至电子招标采购平台，且无需提交纸质投标文件。</w:t>
            </w:r>
          </w:p>
          <w:p>
            <w:pPr>
              <w:pageBreakBefore w:val="0"/>
              <w:kinsoku/>
              <w:wordWrap/>
              <w:overflowPunct/>
              <w:topLinePunct w:val="0"/>
              <w:autoSpaceDE/>
              <w:autoSpaceDN/>
              <w:bidi w:val="0"/>
              <w:spacing w:line="360" w:lineRule="auto"/>
              <w:ind w:left="0" w:leftChars="0" w:firstLine="0" w:firstLineChars="0"/>
              <w:textAlignment w:val="auto"/>
              <w:rPr>
                <w:rFonts w:hint="eastAsia" w:ascii="宋体" w:hAnsi="宋体" w:cs="宋体"/>
                <w:b/>
                <w:bCs/>
                <w:color w:val="auto"/>
                <w:szCs w:val="21"/>
                <w:highlight w:val="none"/>
              </w:rPr>
            </w:pPr>
            <w:r>
              <w:rPr>
                <w:rFonts w:hint="eastAsia" w:ascii="宋体" w:hAnsi="宋体" w:eastAsia="宋体" w:cs="宋体"/>
                <w:color w:val="auto"/>
                <w:kern w:val="0"/>
                <w:sz w:val="21"/>
                <w:szCs w:val="21"/>
                <w:highlight w:val="none"/>
              </w:rPr>
              <w:t>3、电子投标文件盖章要求：</w:t>
            </w:r>
            <w:r>
              <w:rPr>
                <w:rFonts w:hint="eastAsia" w:ascii="宋体" w:hAnsi="宋体" w:eastAsia="宋体" w:cs="宋体"/>
                <w:color w:val="auto"/>
                <w:sz w:val="21"/>
                <w:szCs w:val="21"/>
                <w:highlight w:val="none"/>
              </w:rPr>
              <w:t>要求投标人盖章、法定代表人签字或盖章（印章）的地方，投标人均应使用CA数字证书加盖投标人的单位电子印章、法定代表人签字或盖章（个人电子印章如需要）。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eastAsia="宋体"/>
                <w:color w:val="auto"/>
                <w:highlight w:val="none"/>
              </w:rPr>
            </w:pPr>
            <w:r>
              <w:rPr>
                <w:rFonts w:hint="eastAsia"/>
                <w:color w:val="auto"/>
                <w:highlight w:val="none"/>
                <w:lang w:val="en-US" w:eastAsia="zh-CN"/>
              </w:rPr>
              <w:t>20</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color w:val="auto"/>
                <w:highlight w:val="none"/>
              </w:rPr>
            </w:pPr>
            <w:r>
              <w:rPr>
                <w:rFonts w:hint="eastAsia"/>
                <w:color w:val="auto"/>
                <w:highlight w:val="none"/>
              </w:rPr>
              <w:t>招标人其他约定：</w:t>
            </w:r>
          </w:p>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color w:val="auto"/>
                <w:highlight w:val="none"/>
              </w:rPr>
            </w:pPr>
            <w:r>
              <w:rPr>
                <w:rFonts w:hint="eastAsia"/>
                <w:color w:val="auto"/>
                <w:highlight w:val="none"/>
              </w:rPr>
              <w:t>一、投标人须认识到本次采购非依法必须招标项目、非政府采购。</w:t>
            </w:r>
          </w:p>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color w:val="auto"/>
                <w:highlight w:val="none"/>
              </w:rPr>
            </w:pPr>
            <w:r>
              <w:rPr>
                <w:rFonts w:hint="eastAsia"/>
                <w:color w:val="auto"/>
                <w:highlight w:val="none"/>
              </w:rPr>
              <w:t>二、投标人须认真阅读招标文件，并完全理解招标文件的全部内容。投标人须保证严格保密招标文件内容，不泄露招标人的任何信息。</w:t>
            </w:r>
          </w:p>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color w:val="auto"/>
                <w:highlight w:val="none"/>
              </w:rPr>
            </w:pPr>
            <w:r>
              <w:rPr>
                <w:rFonts w:hint="eastAsia"/>
                <w:color w:val="auto"/>
                <w:highlight w:val="none"/>
              </w:rPr>
              <w:t>三、投标人须保证所递交的报价文件包括资格证明、合同等内容真实有效。投标人愿意承担虚构信息及伪造资格证明、合同等有损诚信行为导致的一切不利后果。投标人所提交的报价文件构成要约，投标人即受上述文件中意思表示的约束。</w:t>
            </w:r>
          </w:p>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ascii="Times New Roman" w:hAnsi="Times New Roman" w:eastAsia="宋体" w:cs="Times New Roman"/>
                <w:color w:val="auto"/>
                <w:highlight w:val="none"/>
              </w:rPr>
            </w:pPr>
            <w:r>
              <w:rPr>
                <w:rFonts w:hint="eastAsia"/>
                <w:color w:val="auto"/>
                <w:highlight w:val="none"/>
                <w:lang w:val="en-US" w:eastAsia="zh-CN"/>
              </w:rPr>
              <w:t>四、</w:t>
            </w:r>
            <w:r>
              <w:rPr>
                <w:rFonts w:hint="eastAsia"/>
                <w:color w:val="auto"/>
                <w:highlight w:val="none"/>
              </w:rPr>
              <w:t>为保证电子投标文件的顺利上传，投标人应在投标截止时间前适时提前上传电子投标</w:t>
            </w:r>
            <w:r>
              <w:rPr>
                <w:rFonts w:hint="eastAsia" w:ascii="Times New Roman" w:hAnsi="Times New Roman" w:eastAsia="宋体" w:cs="Times New Roman"/>
                <w:color w:val="auto"/>
                <w:highlight w:val="none"/>
              </w:rPr>
              <w:t>文件，避免因网络原因引起上传失败或上传时间超出投标截止时间等问题。</w:t>
            </w:r>
          </w:p>
          <w:p>
            <w:pPr>
              <w:pageBreakBefore w:val="0"/>
              <w:kinsoku/>
              <w:wordWrap/>
              <w:overflowPunct/>
              <w:topLinePunct w:val="0"/>
              <w:autoSpaceDE/>
              <w:autoSpaceDN/>
              <w:bidi w:val="0"/>
              <w:snapToGrid w:val="0"/>
              <w:spacing w:after="0" w:line="360" w:lineRule="auto"/>
              <w:ind w:left="0" w:leftChars="0" w:firstLine="0" w:firstLineChars="0"/>
              <w:jc w:val="left"/>
              <w:textAlignment w:val="auto"/>
              <w:rPr>
                <w:rFonts w:hint="eastAsia" w:ascii="宋体" w:hAnsi="宋体" w:cs="宋体"/>
                <w:b/>
                <w:bCs/>
                <w:color w:val="auto"/>
                <w:szCs w:val="21"/>
                <w:highlight w:val="none"/>
              </w:rPr>
            </w:pPr>
            <w:r>
              <w:rPr>
                <w:rFonts w:hint="eastAsia" w:ascii="Times New Roman" w:hAnsi="Times New Roman" w:eastAsia="宋体" w:cs="Times New Roman"/>
                <w:color w:val="auto"/>
                <w:highlight w:val="none"/>
                <w:lang w:val="en-US" w:eastAsia="zh-CN"/>
              </w:rPr>
              <w:t>五、若有特殊说明的事项或所报内容与招标人要求有差异，请在报价文件中注明，不写明的，一概认为满足招标人响应要求。若实际响应与招标人要求不符，招标人有权对报价作废。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eastAsia="宋体"/>
                <w:color w:val="auto"/>
                <w:highlight w:val="none"/>
              </w:rPr>
            </w:pPr>
            <w:r>
              <w:rPr>
                <w:rFonts w:hint="eastAsia"/>
                <w:color w:val="auto"/>
                <w:highlight w:val="none"/>
                <w:lang w:val="en-US" w:eastAsia="zh-CN"/>
              </w:rPr>
              <w:t>21</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left="0" w:leftChars="0" w:firstLine="0" w:firstLineChars="0"/>
              <w:textAlignment w:val="auto"/>
              <w:rPr>
                <w:rFonts w:hint="eastAsia" w:ascii="宋体" w:hAnsi="宋体" w:cs="宋体"/>
                <w:b/>
                <w:bCs/>
                <w:color w:val="auto"/>
                <w:szCs w:val="21"/>
                <w:highlight w:val="none"/>
              </w:rPr>
            </w:pPr>
            <w:r>
              <w:rPr>
                <w:rFonts w:hint="default" w:ascii="Times New Roman" w:hAnsi="Times New Roman" w:cs="Times New Roman"/>
                <w:color w:val="auto"/>
                <w:szCs w:val="21"/>
                <w:highlight w:val="none"/>
              </w:rPr>
              <w:t>解释：本</w:t>
            </w:r>
            <w:r>
              <w:rPr>
                <w:rFonts w:hint="default" w:ascii="Times New Roman" w:hAnsi="Times New Roman" w:cs="Times New Roman"/>
                <w:color w:val="auto"/>
                <w:szCs w:val="21"/>
                <w:highlight w:val="none"/>
                <w:lang w:val="en-US" w:eastAsia="zh-CN"/>
              </w:rPr>
              <w:t>招标</w:t>
            </w:r>
            <w:r>
              <w:rPr>
                <w:rFonts w:hint="default" w:ascii="Times New Roman" w:hAnsi="Times New Roman" w:cs="Times New Roman"/>
                <w:color w:val="auto"/>
                <w:szCs w:val="21"/>
                <w:highlight w:val="none"/>
              </w:rPr>
              <w:t>文件的解释权属于</w:t>
            </w:r>
            <w:r>
              <w:rPr>
                <w:rFonts w:hint="default" w:ascii="Times New Roman" w:hAnsi="Times New Roman" w:cs="Times New Roman"/>
                <w:color w:val="auto"/>
                <w:szCs w:val="21"/>
                <w:highlight w:val="none"/>
                <w:lang w:val="en-US" w:eastAsia="zh-CN"/>
              </w:rPr>
              <w:t>招标</w:t>
            </w:r>
            <w:r>
              <w:rPr>
                <w:rFonts w:hint="default" w:ascii="Times New Roman" w:hAnsi="Times New Roman" w:cs="Times New Roman"/>
                <w:color w:val="auto"/>
                <w:szCs w:val="21"/>
                <w:highlight w:val="none"/>
              </w:rPr>
              <w:t>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3" w:hRule="atLeast"/>
          <w:jc w:val="center"/>
        </w:trPr>
        <w:tc>
          <w:tcPr>
            <w:tcW w:w="1115"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firstLine="0" w:firstLineChars="0"/>
              <w:jc w:val="center"/>
              <w:textAlignment w:val="auto"/>
              <w:rPr>
                <w:rFonts w:hint="default"/>
                <w:color w:val="auto"/>
                <w:highlight w:val="none"/>
                <w:lang w:val="en-US" w:eastAsia="zh-CN"/>
              </w:rPr>
            </w:pPr>
            <w:r>
              <w:rPr>
                <w:rFonts w:hint="eastAsia"/>
                <w:color w:val="auto"/>
                <w:highlight w:val="none"/>
                <w:lang w:val="en-US" w:eastAsia="zh-CN"/>
              </w:rPr>
              <w:t>22</w:t>
            </w:r>
          </w:p>
        </w:tc>
        <w:tc>
          <w:tcPr>
            <w:tcW w:w="837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autoSpaceDE/>
              <w:autoSpaceDN/>
              <w:bidi w:val="0"/>
              <w:spacing w:line="360" w:lineRule="auto"/>
              <w:ind w:left="0" w:leftChars="0" w:firstLine="0" w:firstLineChars="0"/>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中标单位中标后须向招标人提交纸质投标文件，份数2份。</w:t>
            </w:r>
          </w:p>
        </w:tc>
      </w:tr>
    </w:tbl>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b w:val="0"/>
          <w:color w:val="auto"/>
          <w:sz w:val="21"/>
          <w:szCs w:val="21"/>
          <w:highlight w:val="none"/>
        </w:rPr>
      </w:pPr>
      <w:r>
        <w:rPr>
          <w:rFonts w:hint="default" w:ascii="Times New Roman" w:hAnsi="Times New Roman" w:cs="Times New Roman"/>
          <w:color w:val="auto"/>
          <w:highlight w:val="none"/>
        </w:rPr>
        <w:br w:type="page"/>
      </w:r>
      <w:r>
        <w:rPr>
          <w:rFonts w:hint="default" w:ascii="Times New Roman" w:hAnsi="Times New Roman" w:cs="Times New Roman"/>
          <w:b/>
          <w:bCs/>
          <w:color w:val="auto"/>
          <w:sz w:val="24"/>
          <w:szCs w:val="24"/>
          <w:highlight w:val="none"/>
        </w:rPr>
        <w:t>一、总  则</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（一）适用范围</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本招标文件适用于</w:t>
      </w:r>
      <w:r>
        <w:rPr>
          <w:rFonts w:hint="eastAsia" w:ascii="Times New Roman" w:hAnsi="Times New Roman" w:eastAsia="宋体" w:cs="Times New Roman"/>
          <w:color w:val="auto"/>
          <w:highlight w:val="none"/>
          <w:lang w:val="en-US" w:eastAsia="zh-CN"/>
        </w:rPr>
        <w:t>宁波油港轮驳有限公司</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甬港拖</w:t>
      </w:r>
      <w:r>
        <w:rPr>
          <w:rFonts w:hint="eastAsia" w:cs="Times New Roman"/>
          <w:color w:val="auto"/>
          <w:highlight w:val="none"/>
          <w:lang w:val="en-US" w:eastAsia="zh-CN"/>
        </w:rPr>
        <w:t>33</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轮修理</w:t>
      </w:r>
      <w:r>
        <w:rPr>
          <w:rFonts w:hint="default" w:ascii="Times New Roman" w:hAnsi="Times New Roman" w:eastAsia="宋体" w:cs="Times New Roman"/>
          <w:color w:val="auto"/>
          <w:highlight w:val="none"/>
          <w:lang w:val="en-US" w:eastAsia="zh-CN"/>
        </w:rPr>
        <w:t>项目</w:t>
      </w:r>
      <w:r>
        <w:rPr>
          <w:rFonts w:hint="eastAsia" w:cs="Times New Roman"/>
          <w:color w:val="auto"/>
          <w:highlight w:val="none"/>
          <w:lang w:val="en-US" w:eastAsia="zh-CN"/>
        </w:rPr>
        <w:t>（2026年度）</w:t>
      </w:r>
      <w:r>
        <w:rPr>
          <w:rFonts w:hint="default" w:ascii="Times New Roman" w:hAnsi="Times New Roman" w:cs="Times New Roman"/>
          <w:color w:val="auto"/>
          <w:highlight w:val="none"/>
        </w:rPr>
        <w:t>的招标、投标、评标、定标、验收、合同履约、付款等行为（法律、法规另有规定的，从其规定）。</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（二）定义</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招标人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系指组织本次招标的单位。</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投标人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系指向招标</w:t>
      </w:r>
      <w:r>
        <w:rPr>
          <w:rFonts w:hint="default" w:ascii="Times New Roman" w:hAnsi="Times New Roman" w:cs="Times New Roman"/>
          <w:color w:val="auto"/>
          <w:highlight w:val="none"/>
          <w:lang w:val="en-US" w:eastAsia="zh-CN"/>
        </w:rPr>
        <w:t>人</w:t>
      </w:r>
      <w:r>
        <w:rPr>
          <w:rFonts w:hint="default" w:ascii="Times New Roman" w:hAnsi="Times New Roman" w:cs="Times New Roman"/>
          <w:color w:val="auto"/>
          <w:highlight w:val="none"/>
        </w:rPr>
        <w:t>提交投标文件的单位。</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产品</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系指供方按招标文件规定，须向招标人提供的一切货物、设备、保险、税金、基础数据、工具、手册及</w:t>
      </w:r>
      <w:r>
        <w:rPr>
          <w:rFonts w:hint="default" w:ascii="Times New Roman" w:hAnsi="Times New Roman" w:cs="Times New Roman"/>
          <w:color w:val="auto"/>
          <w:highlight w:val="none"/>
          <w:lang w:eastAsia="zh-CN"/>
        </w:rPr>
        <w:t>其他</w:t>
      </w:r>
      <w:r>
        <w:rPr>
          <w:rFonts w:hint="default" w:ascii="Times New Roman" w:hAnsi="Times New Roman" w:cs="Times New Roman"/>
          <w:color w:val="auto"/>
          <w:highlight w:val="none"/>
        </w:rPr>
        <w:t>有关技术资料和材料。</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服务</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系指招标文件规定投标人须承担的安装、调试、技术协助、培训、技术指导以及其他类似的义务。</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项目</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系指投标人按招标文件规定向招标人提供的产品及服务。</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书面形式</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包括信函、传真</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电子邮件</w:t>
      </w:r>
      <w:r>
        <w:rPr>
          <w:rFonts w:hint="default" w:ascii="Times New Roman" w:hAnsi="Times New Roman" w:cs="Times New Roman"/>
          <w:color w:val="auto"/>
          <w:highlight w:val="none"/>
        </w:rPr>
        <w:t>等。</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7.</w:t>
      </w:r>
      <w:r>
        <w:rPr>
          <w:rFonts w:hint="default"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带</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条款系指实质性要求条款。</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（三）招标方式</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本次招标采用公开招标方式进行。</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（四）投标委托</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投标人代表须提供有效身份证件。如投标人代表不是法定代表人，须有法定代表人出具的授权委托书。</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（五）投标费用</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不论投标结果如何，投标人均应自行承担所有与投标有关的全部费用（招标文件有相关规定除外）。</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（六）联合体投标</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本项目不接受联合体投标。</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（七）转包</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kern w:val="0"/>
          <w:szCs w:val="21"/>
          <w:highlight w:val="none"/>
        </w:rPr>
        <w:t>本项目不允许转包</w:t>
      </w:r>
      <w:r>
        <w:rPr>
          <w:rFonts w:hint="eastAsia" w:cs="Times New Roman"/>
          <w:color w:val="auto"/>
          <w:kern w:val="0"/>
          <w:szCs w:val="21"/>
          <w:highlight w:val="none"/>
          <w:lang w:val="en-US" w:eastAsia="zh-CN"/>
        </w:rPr>
        <w:t>和违法分包</w:t>
      </w:r>
      <w:r>
        <w:rPr>
          <w:rFonts w:hint="default" w:ascii="Times New Roman" w:hAnsi="Times New Roman" w:cs="Times New Roman"/>
          <w:color w:val="auto"/>
          <w:kern w:val="0"/>
          <w:szCs w:val="21"/>
          <w:highlight w:val="none"/>
        </w:rPr>
        <w:t>。</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（八）特别说明：</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 xml:space="preserve">1. </w:t>
      </w:r>
      <w:r>
        <w:rPr>
          <w:rFonts w:hint="default" w:ascii="Times New Roman" w:hAnsi="Times New Roman" w:cs="Times New Roman"/>
          <w:b/>
          <w:bCs/>
          <w:color w:val="auto"/>
          <w:highlight w:val="none"/>
        </w:rPr>
        <w:t>本项目不属于依法必须招标项目，也不属于政府采购项目</w:t>
      </w:r>
      <w:r>
        <w:rPr>
          <w:rFonts w:hint="default" w:ascii="Times New Roman" w:hAnsi="Times New Roman" w:cs="Times New Roman"/>
          <w:b/>
          <w:bCs/>
          <w:color w:val="auto"/>
          <w:highlight w:val="none"/>
          <w:lang w:eastAsia="zh-CN"/>
        </w:rPr>
        <w:t>。</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2</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 xml:space="preserve"> </w:t>
      </w:r>
      <w:r>
        <w:rPr>
          <w:rFonts w:hint="default" w:ascii="Times New Roman" w:hAnsi="Times New Roman" w:cs="Times New Roman"/>
          <w:b/>
          <w:bCs/>
          <w:color w:val="auto"/>
          <w:highlight w:val="none"/>
        </w:rPr>
        <w:t>投标人应仔细阅读招标文件的所有内容，按照招标文件的要求提交投标文件，并对所提供的全部资料的真实性承担法律责任。</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九</w:t>
      </w:r>
      <w:r>
        <w:rPr>
          <w:rFonts w:hint="default" w:ascii="Times New Roman" w:hAnsi="Times New Roman" w:cs="Times New Roman"/>
          <w:color w:val="auto"/>
          <w:highlight w:val="none"/>
        </w:rPr>
        <w:t>）异议和投诉</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投标人对招标文件有异议的，应当在投标截止时间</w:t>
      </w:r>
      <w:r>
        <w:rPr>
          <w:rFonts w:hint="eastAsia" w:cs="Times New Roman"/>
          <w:color w:val="auto"/>
          <w:highlight w:val="none"/>
          <w:lang w:val="en-US" w:eastAsia="zh-CN"/>
        </w:rPr>
        <w:t>3</w:t>
      </w:r>
      <w:r>
        <w:rPr>
          <w:rFonts w:hint="default" w:ascii="Times New Roman" w:hAnsi="Times New Roman" w:cs="Times New Roman"/>
          <w:color w:val="auto"/>
          <w:highlight w:val="none"/>
        </w:rPr>
        <w:t>日前提出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投标人对评标结果有异议的，应当在</w:t>
      </w:r>
      <w:r>
        <w:rPr>
          <w:rFonts w:hint="eastAsia" w:cs="Times New Roman"/>
          <w:color w:val="auto"/>
          <w:highlight w:val="none"/>
          <w:lang w:val="en-US" w:eastAsia="zh-CN"/>
        </w:rPr>
        <w:t>评标结果</w:t>
      </w:r>
      <w:r>
        <w:rPr>
          <w:rFonts w:hint="default" w:ascii="Times New Roman" w:hAnsi="Times New Roman" w:cs="Times New Roman"/>
          <w:color w:val="auto"/>
          <w:highlight w:val="none"/>
        </w:rPr>
        <w:t>公示期间提出</w:t>
      </w:r>
      <w:r>
        <w:rPr>
          <w:rFonts w:hint="eastAsia" w:cs="Times New Roman"/>
          <w:color w:val="auto"/>
          <w:highlight w:val="none"/>
          <w:lang w:eastAsia="zh-CN"/>
        </w:rPr>
        <w:t>，</w:t>
      </w:r>
      <w:r>
        <w:rPr>
          <w:rFonts w:hint="default" w:ascii="Times New Roman" w:hAnsi="Times New Roman" w:cs="Times New Roman"/>
          <w:color w:val="auto"/>
          <w:highlight w:val="none"/>
        </w:rPr>
        <w:t>逾期不予受理。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eastAsia" w:cs="Times New Roman"/>
          <w:color w:val="auto"/>
          <w:highlight w:val="none"/>
          <w:lang w:val="en-US" w:eastAsia="zh-CN"/>
        </w:rPr>
        <w:t xml:space="preserve"> </w:t>
      </w:r>
      <w:r>
        <w:rPr>
          <w:rFonts w:hint="default" w:ascii="Times New Roman" w:hAnsi="Times New Roman" w:cs="Times New Roman"/>
          <w:color w:val="auto"/>
          <w:highlight w:val="none"/>
        </w:rPr>
        <w:t>异议应当在浙江海港电子招标采购平台上提出，投诉应当以书面形式提出。异议书、投诉书均应明确阐述招标文件、招标过程或中标结果中使自己合法权益受到损害的实质性内容，提供相关事实、依据和证据及其来源或线索，便于有关单位调查、</w:t>
      </w:r>
      <w:r>
        <w:rPr>
          <w:rFonts w:hint="default" w:ascii="Times New Roman" w:hAnsi="Times New Roman" w:cs="Times New Roman"/>
          <w:color w:val="auto"/>
          <w:highlight w:val="none"/>
          <w:lang w:val="en-US" w:eastAsia="zh-CN"/>
        </w:rPr>
        <w:t>答</w:t>
      </w:r>
      <w:r>
        <w:rPr>
          <w:rFonts w:hint="default" w:ascii="Times New Roman" w:hAnsi="Times New Roman" w:cs="Times New Roman"/>
          <w:color w:val="auto"/>
          <w:highlight w:val="none"/>
        </w:rPr>
        <w:t>复和处理。</w:t>
      </w:r>
    </w:p>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sz w:val="24"/>
          <w:szCs w:val="24"/>
          <w:highlight w:val="none"/>
        </w:rPr>
      </w:pPr>
      <w:bookmarkStart w:id="25" w:name="_Toc430"/>
      <w:r>
        <w:rPr>
          <w:rFonts w:hint="default" w:ascii="Times New Roman" w:hAnsi="Times New Roman" w:cs="Times New Roman"/>
          <w:b/>
          <w:bCs/>
          <w:color w:val="auto"/>
          <w:sz w:val="24"/>
          <w:szCs w:val="24"/>
          <w:highlight w:val="none"/>
        </w:rPr>
        <w:t>二、招标文件</w:t>
      </w:r>
      <w:bookmarkEnd w:id="25"/>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（一）招标文件的构成。本招标文件由以下部</w:t>
      </w:r>
      <w:r>
        <w:rPr>
          <w:rFonts w:hint="default" w:ascii="Times New Roman" w:hAnsi="Times New Roman" w:cs="Times New Roman"/>
          <w:color w:val="auto"/>
          <w:highlight w:val="none"/>
          <w:lang w:val="en-US" w:eastAsia="zh-CN"/>
        </w:rPr>
        <w:t>分</w:t>
      </w:r>
      <w:r>
        <w:rPr>
          <w:rFonts w:hint="default" w:ascii="Times New Roman" w:hAnsi="Times New Roman" w:cs="Times New Roman"/>
          <w:color w:val="auto"/>
          <w:highlight w:val="none"/>
        </w:rPr>
        <w:t>组成：</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招标公告</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招标需求</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投标人须知</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评标办法及评分标准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合同条款</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投标文件格式</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本项目招标文件的澄清、答复、修改、补充的内容</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（二）投标人的风险</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投标人没有按照招标文件要求提供全部资料，或者投标人没有对招标文件在各方面作出实质性响应是投标人的风险，并可能导致其投标被拒绝。</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（三）招标文件的澄清与修改</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 招标人对已发出的招标文件进行必要的澄清和修改时，将在招标公告规定的投标截止时间</w:t>
      </w:r>
      <w:r>
        <w:rPr>
          <w:rFonts w:hint="eastAsia" w:cs="Times New Roman"/>
          <w:color w:val="auto"/>
          <w:highlight w:val="none"/>
          <w:lang w:val="en-US" w:eastAsia="zh-CN"/>
        </w:rPr>
        <w:t>3</w:t>
      </w:r>
      <w:r>
        <w:rPr>
          <w:rFonts w:hint="default" w:ascii="Times New Roman" w:hAnsi="Times New Roman" w:cs="Times New Roman"/>
          <w:color w:val="auto"/>
          <w:highlight w:val="none"/>
        </w:rPr>
        <w:t>日前，在规定信息发布网站上通知所有招标文件</w:t>
      </w:r>
      <w:r>
        <w:rPr>
          <w:rFonts w:hint="default" w:ascii="Times New Roman" w:hAnsi="Times New Roman" w:cs="Times New Roman"/>
          <w:color w:val="auto"/>
          <w:highlight w:val="none"/>
          <w:lang w:eastAsia="zh-CN"/>
        </w:rPr>
        <w:t>收受人</w:t>
      </w:r>
      <w:r>
        <w:rPr>
          <w:rFonts w:hint="default" w:ascii="Times New Roman" w:hAnsi="Times New Roman" w:cs="Times New Roman"/>
          <w:color w:val="auto"/>
          <w:highlight w:val="none"/>
        </w:rPr>
        <w:t>，并要求</w:t>
      </w:r>
      <w:r>
        <w:rPr>
          <w:rFonts w:hint="default" w:ascii="Times New Roman" w:hAnsi="Times New Roman" w:cs="Times New Roman"/>
          <w:color w:val="auto"/>
          <w:highlight w:val="none"/>
          <w:lang w:eastAsia="zh-CN"/>
        </w:rPr>
        <w:t>收受人</w:t>
      </w:r>
      <w:r>
        <w:rPr>
          <w:rFonts w:hint="eastAsia" w:cs="Times New Roman"/>
          <w:color w:val="auto"/>
          <w:highlight w:val="none"/>
          <w:lang w:val="en-US" w:eastAsia="zh-CN"/>
        </w:rPr>
        <w:t>经</w:t>
      </w:r>
      <w:r>
        <w:rPr>
          <w:rFonts w:hint="default" w:ascii="Times New Roman" w:hAnsi="Times New Roman" w:cs="Times New Roman"/>
          <w:color w:val="auto"/>
          <w:highlight w:val="none"/>
        </w:rPr>
        <w:t>确认澄清和修改已收悉，澄清和修改的内容作为招标文件的组成部分。招标人根据实际情况，延长投标截止时间的，将在投标截止时间前</w:t>
      </w:r>
      <w:r>
        <w:rPr>
          <w:rFonts w:hint="eastAsia" w:cs="Times New Roman"/>
          <w:color w:val="auto"/>
          <w:highlight w:val="none"/>
          <w:lang w:val="en-US" w:eastAsia="zh-CN"/>
        </w:rPr>
        <w:t>2</w:t>
      </w:r>
      <w:r>
        <w:rPr>
          <w:rFonts w:hint="default" w:ascii="Times New Roman" w:hAnsi="Times New Roman" w:cs="Times New Roman"/>
          <w:color w:val="auto"/>
          <w:highlight w:val="none"/>
        </w:rPr>
        <w:t>日内告知所有招标文件</w:t>
      </w:r>
      <w:r>
        <w:rPr>
          <w:rFonts w:hint="default" w:ascii="Times New Roman" w:hAnsi="Times New Roman" w:cs="Times New Roman"/>
          <w:color w:val="auto"/>
          <w:highlight w:val="none"/>
          <w:lang w:eastAsia="zh-CN"/>
        </w:rPr>
        <w:t>收受人</w:t>
      </w:r>
      <w:r>
        <w:rPr>
          <w:rFonts w:hint="default" w:ascii="Times New Roman" w:hAnsi="Times New Roman" w:cs="Times New Roman"/>
          <w:color w:val="auto"/>
          <w:highlight w:val="none"/>
        </w:rPr>
        <w:t>，并要求回执确认。</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 购买招标文件的潜在投标人对招标文件有异议，应在投标截止时间</w:t>
      </w:r>
      <w:r>
        <w:rPr>
          <w:rFonts w:hint="eastAsia" w:cs="Times New Roman"/>
          <w:color w:val="auto"/>
          <w:highlight w:val="none"/>
          <w:lang w:val="en-US" w:eastAsia="zh-CN"/>
        </w:rPr>
        <w:t>3</w:t>
      </w:r>
      <w:r>
        <w:rPr>
          <w:rFonts w:hint="default" w:ascii="Times New Roman" w:hAnsi="Times New Roman" w:cs="Times New Roman"/>
          <w:color w:val="auto"/>
          <w:highlight w:val="none"/>
        </w:rPr>
        <w:t>日前书面提出。逾期提出的将不予受理。对招标文件的异议应有法定代表人或其授权代表</w:t>
      </w:r>
      <w:r>
        <w:rPr>
          <w:rFonts w:hint="default" w:ascii="Times New Roman" w:hAnsi="Times New Roman" w:cs="Times New Roman"/>
          <w:color w:val="auto"/>
          <w:highlight w:val="none"/>
          <w:lang w:val="en-US" w:eastAsia="zh-CN"/>
        </w:rPr>
        <w:t>签章</w:t>
      </w:r>
      <w:r>
        <w:rPr>
          <w:rFonts w:hint="default" w:ascii="Times New Roman" w:hAnsi="Times New Roman" w:cs="Times New Roman"/>
          <w:color w:val="auto"/>
          <w:highlight w:val="none"/>
        </w:rPr>
        <w:t>，并盖投标人公章并注明日期。</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 没有提出异议且又参与了该项目投标的投标人将被视为完全认同招标文件。</w:t>
      </w:r>
    </w:p>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三、投标文件的编制</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（一）投标文件目录：未提供格式部分由投标人自拟</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投标文件分为价格标、商务技术标、资审文件三部分</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其内容分别为：</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第一部分：</w:t>
      </w:r>
      <w:r>
        <w:rPr>
          <w:rFonts w:hint="default" w:ascii="Times New Roman" w:hAnsi="Times New Roman" w:cs="Times New Roman"/>
          <w:color w:val="auto"/>
          <w:szCs w:val="21"/>
          <w:highlight w:val="none"/>
        </w:rPr>
        <w:t>价格标</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（1）投标函（格式见附件）；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（2）报价明细表（格式见附件）；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（3）投标人针对报价需要说明的其他文件和说明（格式自拟）。</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第二部分：</w:t>
      </w:r>
      <w:r>
        <w:rPr>
          <w:rFonts w:hint="default" w:ascii="Times New Roman" w:hAnsi="Times New Roman" w:cs="Times New Roman"/>
          <w:color w:val="auto"/>
          <w:szCs w:val="21"/>
          <w:highlight w:val="none"/>
        </w:rPr>
        <w:t>商务技术标</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（1）商务响应表（格式见附件）；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 xml:space="preserve">（2）技术响应表（格式见附件）； </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3</w:t>
      </w:r>
      <w:r>
        <w:rPr>
          <w:rFonts w:hint="default" w:ascii="Times New Roman" w:hAnsi="Times New Roman" w:cs="Times New Roman"/>
          <w:color w:val="auto"/>
          <w:highlight w:val="none"/>
          <w:lang w:val="zh-CN"/>
        </w:rPr>
        <w:t>）业绩；</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4</w:t>
      </w:r>
      <w:r>
        <w:rPr>
          <w:rFonts w:hint="default" w:ascii="Times New Roman" w:hAnsi="Times New Roman" w:cs="Times New Roman"/>
          <w:color w:val="auto"/>
          <w:highlight w:val="none"/>
          <w:lang w:val="zh-CN"/>
        </w:rPr>
        <w:t>）售后服务措施；</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5</w:t>
      </w:r>
      <w:r>
        <w:rPr>
          <w:rFonts w:hint="default" w:ascii="Times New Roman" w:hAnsi="Times New Roman" w:cs="Times New Roman"/>
          <w:color w:val="auto"/>
          <w:highlight w:val="none"/>
          <w:lang w:val="zh-CN"/>
        </w:rPr>
        <w:t>）商务技术标评审所涉及的其他资料（</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6</w:t>
      </w:r>
      <w:r>
        <w:rPr>
          <w:rFonts w:hint="default" w:ascii="Times New Roman" w:hAnsi="Times New Roman" w:cs="Times New Roman"/>
          <w:color w:val="auto"/>
          <w:highlight w:val="none"/>
          <w:lang w:val="zh-CN"/>
        </w:rPr>
        <w:t>）投标人需要特别说明的其他文件（</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第三部分：</w:t>
      </w:r>
      <w:r>
        <w:rPr>
          <w:rFonts w:hint="default" w:ascii="Times New Roman" w:hAnsi="Times New Roman" w:cs="Times New Roman"/>
          <w:color w:val="auto"/>
          <w:szCs w:val="21"/>
          <w:highlight w:val="none"/>
        </w:rPr>
        <w:t>资审文件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（1）法定代表人资格证明书或法定代表人授权委托书（格式见附件）；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（2）有效的营业执照扫描件；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（3）投标人资格声明函（格式见附件）</w:t>
      </w:r>
      <w:r>
        <w:rPr>
          <w:rFonts w:hint="eastAsia" w:cs="Times New Roman"/>
          <w:color w:val="auto"/>
          <w:highlight w:val="none"/>
          <w:lang w:val="zh-CN"/>
        </w:rPr>
        <w:t>；</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（4）投标人基本情况表（格式见附件）；</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（5）投标保证金缴纳凭证；</w:t>
      </w: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6</w:t>
      </w:r>
      <w:r>
        <w:rPr>
          <w:rFonts w:hint="default" w:ascii="Times New Roman" w:hAnsi="Times New Roman" w:cs="Times New Roman"/>
          <w:color w:val="auto"/>
          <w:highlight w:val="none"/>
          <w:lang w:val="zh-CN"/>
        </w:rPr>
        <w:t>）</w:t>
      </w:r>
      <w:r>
        <w:rPr>
          <w:rFonts w:hint="default" w:ascii="Times New Roman" w:hAnsi="Times New Roman" w:cs="Times New Roman"/>
          <w:color w:val="auto"/>
          <w:highlight w:val="none"/>
        </w:rPr>
        <w:t>合格投标人的资格要求</w:t>
      </w:r>
      <w:r>
        <w:rPr>
          <w:rFonts w:hint="default" w:ascii="Times New Roman" w:hAnsi="Times New Roman" w:cs="Times New Roman"/>
          <w:color w:val="auto"/>
          <w:highlight w:val="none"/>
          <w:lang w:val="en-US" w:eastAsia="zh-CN"/>
        </w:rPr>
        <w:t>业绩</w:t>
      </w:r>
      <w:r>
        <w:rPr>
          <w:rFonts w:hint="default" w:ascii="Times New Roman" w:hAnsi="Times New Roman" w:cs="Times New Roman"/>
          <w:color w:val="auto"/>
          <w:highlight w:val="none"/>
          <w:lang w:val="zh-CN"/>
        </w:rPr>
        <w:t>证明材料；</w:t>
      </w:r>
    </w:p>
    <w:p>
      <w:pPr>
        <w:pStyle w:val="30"/>
        <w:pageBreakBefore w:val="0"/>
        <w:kinsoku/>
        <w:wordWrap/>
        <w:overflowPunct/>
        <w:topLinePunct w:val="0"/>
        <w:autoSpaceDE/>
        <w:autoSpaceDN/>
        <w:bidi w:val="0"/>
        <w:spacing w:line="360" w:lineRule="auto"/>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7</w:t>
      </w:r>
      <w:r>
        <w:rPr>
          <w:rFonts w:hint="eastAsia"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信用中国截图</w:t>
      </w:r>
    </w:p>
    <w:p>
      <w:pPr>
        <w:pStyle w:val="30"/>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（8）安全准入要求承诺函（如需）</w:t>
      </w:r>
    </w:p>
    <w:p>
      <w:pPr>
        <w:pStyle w:val="30"/>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lang w:val="en-US" w:eastAsia="zh-CN"/>
        </w:rPr>
      </w:pPr>
    </w:p>
    <w:p>
      <w:pPr>
        <w:pageBreakBefore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9</w:t>
      </w:r>
      <w:r>
        <w:rPr>
          <w:rFonts w:hint="default" w:ascii="Times New Roman" w:hAnsi="Times New Roman" w:cs="Times New Roman"/>
          <w:color w:val="auto"/>
          <w:highlight w:val="none"/>
          <w:lang w:val="zh-CN"/>
        </w:rPr>
        <w:t>）招标文件要求的或投标人认为有必要提供的其他情况说明或资质证书。</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zh-CN"/>
        </w:rPr>
        <w:t>注：以上投标资料所要求为扫描件，均须加盖公章。中标后招标人</w:t>
      </w:r>
      <w:r>
        <w:rPr>
          <w:rFonts w:hint="eastAsia" w:cs="Times New Roman"/>
          <w:color w:val="auto"/>
          <w:highlight w:val="none"/>
          <w:lang w:val="en-US" w:eastAsia="zh-CN"/>
        </w:rPr>
        <w:t>有权</w:t>
      </w:r>
      <w:r>
        <w:rPr>
          <w:rFonts w:hint="default" w:ascii="Times New Roman" w:hAnsi="Times New Roman" w:cs="Times New Roman"/>
          <w:color w:val="auto"/>
          <w:highlight w:val="none"/>
          <w:lang w:val="zh-CN"/>
        </w:rPr>
        <w:t>对中标单位相关资料进行原件核实，若有虚假，则取消中标资格，并追究相应责任。</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bookmarkStart w:id="26" w:name="_Toc14400"/>
      <w:r>
        <w:rPr>
          <w:rFonts w:hint="default" w:ascii="Times New Roman" w:hAnsi="Times New Roman" w:cs="Times New Roman"/>
          <w:color w:val="auto"/>
          <w:highlight w:val="none"/>
        </w:rPr>
        <w:t>二）投标文件的语言及计量</w:t>
      </w:r>
    </w:p>
    <w:bookmarkEnd w:id="26"/>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投标文件以及投标</w:t>
      </w:r>
      <w:r>
        <w:rPr>
          <w:rFonts w:hint="default" w:ascii="Times New Roman" w:hAnsi="Times New Roman" w:cs="Times New Roman"/>
          <w:color w:val="auto"/>
          <w:highlight w:val="none"/>
          <w:lang w:val="en-US" w:eastAsia="zh-CN"/>
        </w:rPr>
        <w:t>人</w:t>
      </w:r>
      <w:r>
        <w:rPr>
          <w:rFonts w:hint="default" w:ascii="Times New Roman" w:hAnsi="Times New Roman" w:cs="Times New Roman"/>
          <w:color w:val="auto"/>
          <w:highlight w:val="none"/>
        </w:rPr>
        <w:t>与招标</w:t>
      </w:r>
      <w:r>
        <w:rPr>
          <w:rFonts w:hint="default" w:ascii="Times New Roman" w:hAnsi="Times New Roman" w:cs="Times New Roman"/>
          <w:color w:val="auto"/>
          <w:highlight w:val="none"/>
          <w:lang w:val="en-US" w:eastAsia="zh-CN"/>
        </w:rPr>
        <w:t>人</w:t>
      </w:r>
      <w:r>
        <w:rPr>
          <w:rFonts w:hint="default" w:ascii="Times New Roman" w:hAnsi="Times New Roman" w:cs="Times New Roman"/>
          <w:color w:val="auto"/>
          <w:highlight w:val="none"/>
        </w:rPr>
        <w:t>就有关投标事宜的所有来往函电，均应以中文汉语书写。除签名、盖章、专用名称等特殊情形外，以中文汉语以外的文字表述的投标文件视同未提供。</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投标计量单位，招标文件已有明确规定的，使用招标文件规定的计量单位；招标文件没有规定的，应采用中华人民共和国法定计量单位（例如货币单位：人民币元），否则视同未响应。</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bookmarkStart w:id="27" w:name="_Toc30109"/>
      <w:r>
        <w:rPr>
          <w:rFonts w:hint="default" w:ascii="Times New Roman" w:hAnsi="Times New Roman" w:cs="Times New Roman"/>
          <w:color w:val="auto"/>
          <w:highlight w:val="none"/>
        </w:rPr>
        <w:t>三）投标报价</w:t>
      </w:r>
    </w:p>
    <w:bookmarkEnd w:id="27"/>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bookmarkStart w:id="28" w:name="_Toc26553"/>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投标报价应按招标文件中相关附表格式填写。</w:t>
      </w:r>
    </w:p>
    <w:bookmarkEnd w:id="28"/>
    <w:p>
      <w:pPr>
        <w:pageBreakBefore w:val="0"/>
        <w:kinsoku/>
        <w:wordWrap/>
        <w:overflowPunct/>
        <w:topLinePunct w:val="0"/>
        <w:autoSpaceDE/>
        <w:autoSpaceDN/>
        <w:bidi w:val="0"/>
        <w:spacing w:line="360" w:lineRule="auto"/>
        <w:textAlignment w:val="auto"/>
        <w:rPr>
          <w:rFonts w:hint="default" w:eastAsia="宋体" w:cs="Times New Roman"/>
          <w:color w:val="auto"/>
          <w:highlight w:val="none"/>
          <w:lang w:val="en-US" w:eastAsia="zh-CN"/>
        </w:rPr>
      </w:pPr>
      <w:bookmarkStart w:id="29" w:name="_Toc27262"/>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bookmarkEnd w:id="29"/>
      <w:bookmarkStart w:id="30" w:name="_Toc4050"/>
      <w:r>
        <w:rPr>
          <w:rFonts w:hint="default" w:ascii="Times New Roman" w:hAnsi="Times New Roman" w:cs="Times New Roman"/>
          <w:color w:val="auto"/>
          <w:highlight w:val="none"/>
        </w:rPr>
        <w:t>报价内容</w:t>
      </w:r>
      <w:r>
        <w:rPr>
          <w:rFonts w:hint="eastAsia" w:ascii="Times New Roman" w:hAnsi="Times New Roman" w:cs="Times New Roman"/>
          <w:color w:val="auto"/>
          <w:highlight w:val="none"/>
          <w:lang w:val="en-US" w:eastAsia="zh-CN"/>
        </w:rPr>
        <w:t>详见投标人须知前附表第2条。</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投标文件只允许有一个投标总价，有选择的或有条件的报价将不予接受。</w:t>
      </w:r>
    </w:p>
    <w:bookmarkEnd w:id="30"/>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bookmarkStart w:id="31" w:name="_Toc11291"/>
      <w:r>
        <w:rPr>
          <w:rFonts w:hint="default" w:ascii="Times New Roman" w:hAnsi="Times New Roman" w:cs="Times New Roman"/>
          <w:color w:val="auto"/>
          <w:highlight w:val="none"/>
        </w:rPr>
        <w:t>四）投标文件的有效期</w:t>
      </w:r>
    </w:p>
    <w:bookmarkEnd w:id="31"/>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自投标截止日起60天投标文件应保持有效。有效期不足的投标文件将被拒绝。</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在特殊情况下，招标人可与投标人协商延长投标书的有效期，这种要求和答复均以书面形式进行。</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bookmarkStart w:id="32" w:name="_Toc13025"/>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投标人可拒绝接受延期要求而不会导致投标保证金被没收。同意延长有效期的投标人需要相应延长投标保证金的有效期，但不能修改投标文件。</w:t>
      </w:r>
    </w:p>
    <w:bookmarkEnd w:id="32"/>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bookmarkStart w:id="33" w:name="_Toc19039"/>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中标人的投标文件自开标之日起至合同履行完毕为止均应保持有效。</w:t>
      </w:r>
    </w:p>
    <w:bookmarkEnd w:id="33"/>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bookmarkStart w:id="34" w:name="_Toc1123"/>
      <w:r>
        <w:rPr>
          <w:rFonts w:hint="default" w:ascii="Times New Roman" w:hAnsi="Times New Roman" w:cs="Times New Roman"/>
          <w:color w:val="auto"/>
          <w:highlight w:val="none"/>
        </w:rPr>
        <w:t>五）投标保证金</w:t>
      </w:r>
    </w:p>
    <w:bookmarkEnd w:id="34"/>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投标人须按规定提交投标保证金。否则，其投标将被拒绝。</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保证金形式：电汇</w:t>
      </w:r>
      <w:r>
        <w:rPr>
          <w:rFonts w:hint="eastAsia" w:cs="Times New Roman"/>
          <w:color w:val="auto"/>
          <w:highlight w:val="none"/>
          <w:lang w:val="en-US" w:eastAsia="zh-CN"/>
        </w:rPr>
        <w:t>和银行保函</w:t>
      </w:r>
      <w:r>
        <w:rPr>
          <w:rFonts w:hint="default" w:ascii="Times New Roman" w:hAnsi="Times New Roman" w:cs="Times New Roman"/>
          <w:color w:val="auto"/>
          <w:highlight w:val="none"/>
        </w:rPr>
        <w:t>；</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最迟在签署合同后5日内向投标人</w:t>
      </w:r>
      <w:r>
        <w:rPr>
          <w:rFonts w:hint="eastAsia" w:cs="Times New Roman"/>
          <w:color w:val="auto"/>
          <w:highlight w:val="none"/>
          <w:lang w:val="en-US" w:eastAsia="zh-CN"/>
        </w:rPr>
        <w:t>无息</w:t>
      </w:r>
      <w:r>
        <w:rPr>
          <w:rFonts w:hint="default" w:ascii="Times New Roman" w:hAnsi="Times New Roman" w:cs="Times New Roman"/>
          <w:color w:val="auto"/>
          <w:highlight w:val="none"/>
        </w:rPr>
        <w:t>退还投标保证金。</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投标人有下列情形之一的，投标保证金不予退还：</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（1）投标人在投标有效期内撤回投标文件的；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（2）在提交投标文件截止时间后主动对投标文件提出实质性修改的；</w:t>
      </w:r>
    </w:p>
    <w:p>
      <w:pPr>
        <w:pageBreakBefore w:val="0"/>
        <w:kinsoku/>
        <w:wordWrap/>
        <w:overflowPunct/>
        <w:topLinePunct w:val="0"/>
        <w:autoSpaceDE/>
        <w:autoSpaceDN/>
        <w:bidi w:val="0"/>
        <w:spacing w:line="360" w:lineRule="auto"/>
        <w:textAlignment w:val="auto"/>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（3）投标人在投标过程中存在串通投标、弄虚作假、提供虚假材料等行为的</w:t>
      </w:r>
      <w:r>
        <w:rPr>
          <w:rFonts w:hint="eastAsia" w:cs="Times New Roman"/>
          <w:color w:val="auto"/>
          <w:highlight w:val="none"/>
          <w:lang w:eastAsia="zh-CN"/>
        </w:rPr>
        <w:t>；</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（4）中标人无正当理由不与招标人签订合同的；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（5）将中标项目转让给他人或者在投标文件中未说明且未经招标人同意，将中标项目分包给他人的；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（6）拒绝履行合同义务的；</w:t>
      </w:r>
    </w:p>
    <w:p>
      <w:pPr>
        <w:pageBreakBefore w:val="0"/>
        <w:kinsoku/>
        <w:wordWrap/>
        <w:overflowPunct/>
        <w:topLinePunct w:val="0"/>
        <w:autoSpaceDE/>
        <w:autoSpaceDN/>
        <w:bidi w:val="0"/>
        <w:spacing w:line="360" w:lineRule="auto"/>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（7）其他严重扰乱招投标程序的</w:t>
      </w:r>
      <w:r>
        <w:rPr>
          <w:rFonts w:hint="default" w:ascii="Times New Roman" w:hAnsi="Times New Roman" w:cs="Times New Roman"/>
          <w:color w:val="auto"/>
          <w:highlight w:val="none"/>
          <w:lang w:eastAsia="zh-CN"/>
        </w:rPr>
        <w:t>。</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bookmarkStart w:id="35" w:name="_Toc2315"/>
      <w:r>
        <w:rPr>
          <w:rFonts w:hint="default" w:ascii="Times New Roman" w:hAnsi="Times New Roman" w:cs="Times New Roman"/>
          <w:color w:val="auto"/>
          <w:highlight w:val="none"/>
        </w:rPr>
        <w:t>六）投标文件的签署</w:t>
      </w:r>
    </w:p>
    <w:bookmarkEnd w:id="35"/>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投标人应按本招标文件规定的格式和顺序编制投标文件并标注页码，投标文件内容不完整、编排及上传混乱导致投标文件被误读、漏读或者查找不到相关内容的，是投标人的责任。</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投标人根据招标文件要求分别提供</w:t>
      </w:r>
      <w:r>
        <w:rPr>
          <w:rFonts w:hint="default" w:ascii="Times New Roman" w:hAnsi="Times New Roman" w:cs="Times New Roman"/>
          <w:color w:val="auto"/>
          <w:highlight w:val="none"/>
          <w:lang w:eastAsia="zh-CN"/>
        </w:rPr>
        <w:t>价格标、商务技术标、资审文件</w:t>
      </w:r>
      <w:r>
        <w:rPr>
          <w:rFonts w:hint="default" w:ascii="Times New Roman" w:hAnsi="Times New Roman" w:cs="Times New Roman"/>
          <w:color w:val="auto"/>
          <w:highlight w:val="none"/>
        </w:rPr>
        <w:t>。</w:t>
      </w:r>
    </w:p>
    <w:p>
      <w:pPr>
        <w:pageBreakBefore w:val="0"/>
        <w:kinsoku/>
        <w:wordWrap/>
        <w:overflowPunct/>
        <w:topLinePunct w:val="0"/>
        <w:autoSpaceDE/>
        <w:autoSpaceDN/>
        <w:bidi w:val="0"/>
        <w:spacing w:line="360" w:lineRule="auto"/>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法定代表人授权委托书必须由法定代表人签</w:t>
      </w:r>
      <w:r>
        <w:rPr>
          <w:rFonts w:hint="eastAsia" w:cs="Times New Roman"/>
          <w:color w:val="auto"/>
          <w:highlight w:val="none"/>
          <w:lang w:val="en-US" w:eastAsia="zh-CN"/>
        </w:rPr>
        <w:t>字</w:t>
      </w:r>
      <w:r>
        <w:rPr>
          <w:rFonts w:hint="default" w:ascii="Times New Roman" w:hAnsi="Times New Roman" w:cs="Times New Roman"/>
          <w:color w:val="auto"/>
          <w:highlight w:val="none"/>
        </w:rPr>
        <w:t>或盖法人章、被授权人签章并加盖单位公章。投标文件及投标报价表必须由法定代表人或被授权人签章并加盖单位公章，投标人应写全称。</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投标文件不得涂改，若有修改错漏处，须加盖单位公章或者法定代表人或授权委托人签</w:t>
      </w:r>
      <w:r>
        <w:rPr>
          <w:rFonts w:hint="eastAsia" w:cs="Times New Roman"/>
          <w:color w:val="auto"/>
          <w:highlight w:val="none"/>
          <w:lang w:val="en-US" w:eastAsia="zh-CN"/>
        </w:rPr>
        <w:t>字</w:t>
      </w:r>
      <w:r>
        <w:rPr>
          <w:rFonts w:hint="default" w:ascii="Times New Roman" w:hAnsi="Times New Roman" w:cs="Times New Roman"/>
          <w:color w:val="auto"/>
          <w:highlight w:val="none"/>
        </w:rPr>
        <w:t>或盖章。投标文件因字迹潦草或表达不清所引起的后果由投标人负责。</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（七）投标文件的递交、修改和撤回</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投标文件需在投标文件递交的截止时间前递交。</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投标人在投标截止时间之前，可以对已提交的投标文件进行修改或撤回；投标截止时间后，投标人不得撤回、修改投标文件。</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（八）投标无效的情形</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实质上没有响应招标文件要求的投标将被视为无效投标。投标人不得通过修正或</w:t>
      </w:r>
      <w:r>
        <w:rPr>
          <w:rFonts w:hint="default" w:ascii="Times New Roman" w:hAnsi="Times New Roman" w:cs="Times New Roman"/>
          <w:color w:val="auto"/>
          <w:highlight w:val="none"/>
          <w:lang w:eastAsia="zh-CN"/>
        </w:rPr>
        <w:t>撤销</w:t>
      </w:r>
      <w:r>
        <w:rPr>
          <w:rFonts w:hint="default" w:ascii="Times New Roman" w:hAnsi="Times New Roman" w:cs="Times New Roman"/>
          <w:color w:val="auto"/>
          <w:highlight w:val="none"/>
        </w:rPr>
        <w:t>不合要求的偏离或保留从而使其投标成为实质上响应的投标，但经评标委员会认定属于投标人疏忽、笔误所造成的差错，应当允许其在评标结束之前进行修改或者补正。限期内不补正或经补正后仍不符合招标文件要求的，应认定其投标无效。投标人修改、补正投标文件后，不影响评标委员会对其投标文件所作的评价和评分结果。</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出现下列情形之一的，投标文件将被视为无效：</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（1）投标人的资格条件不符合招标文件要求的。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（2）投标人未提交投标保证金或保证金金额不足，投标保证金形式不符合招标文件要求的。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（3）投标文件未按招标文件要求签字盖章的。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（4）投标有效期不足的。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5）在评标过程中，评标委员会发现投标人的报价明显低于其他投标报价，使得其投标报价可能低于其个别成本的，应当要求该投标人作出说明并提供相关证明材料。投标人不能合理说明或者不能提供相关证明材料的，由评标委员会认定该投标</w:t>
      </w:r>
      <w:r>
        <w:rPr>
          <w:rFonts w:hint="default" w:ascii="Times New Roman" w:hAnsi="Times New Roman" w:cs="Times New Roman"/>
          <w:b/>
          <w:bCs/>
          <w:color w:val="auto"/>
          <w:highlight w:val="none"/>
          <w:lang w:val="en-US" w:eastAsia="zh-CN"/>
        </w:rPr>
        <w:t>人</w:t>
      </w:r>
      <w:r>
        <w:rPr>
          <w:rFonts w:hint="default" w:ascii="Times New Roman" w:hAnsi="Times New Roman" w:cs="Times New Roman"/>
          <w:b/>
          <w:bCs/>
          <w:color w:val="auto"/>
          <w:highlight w:val="none"/>
        </w:rPr>
        <w:t>以低于成本报价竞标，其投标作无效标处理。</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lang w:eastAsia="zh-CN"/>
        </w:rPr>
      </w:pP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lang w:val="en-US" w:eastAsia="zh-CN"/>
        </w:rPr>
        <w:t>6</w:t>
      </w:r>
      <w:r>
        <w:rPr>
          <w:rFonts w:hint="default" w:ascii="Times New Roman" w:hAnsi="Times New Roman" w:cs="Times New Roman"/>
          <w:b/>
          <w:bCs/>
          <w:color w:val="auto"/>
          <w:highlight w:val="none"/>
          <w:lang w:eastAsia="zh-CN"/>
        </w:rPr>
        <w:t>）</w:t>
      </w:r>
      <w:r>
        <w:rPr>
          <w:rFonts w:hint="eastAsia"/>
          <w:b/>
          <w:bCs/>
          <w:color w:val="auto"/>
          <w:highlight w:val="none"/>
        </w:rPr>
        <w:t>不同</w:t>
      </w:r>
      <w:r>
        <w:rPr>
          <w:rFonts w:hint="eastAsia"/>
          <w:b/>
          <w:bCs/>
          <w:color w:val="auto"/>
          <w:highlight w:val="none"/>
          <w:lang w:val="en-US" w:eastAsia="zh-CN"/>
        </w:rPr>
        <w:t>投标人</w:t>
      </w:r>
      <w:r>
        <w:rPr>
          <w:rFonts w:hint="eastAsia"/>
          <w:b/>
          <w:bCs/>
          <w:color w:val="auto"/>
          <w:highlight w:val="none"/>
        </w:rPr>
        <w:t>的电子投标文件编制时的计算机硬件信息中网卡MAC地址（如有）、硬盘（含移动存储介质）序列号（0ptane_0000、0100_0000_0000_0000序列号除外）、互联网接入IP地址相同。</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7</w:t>
      </w:r>
      <w:r>
        <w:rPr>
          <w:rFonts w:hint="default" w:ascii="Times New Roman" w:hAnsi="Times New Roman" w:cs="Times New Roman"/>
          <w:b/>
          <w:bCs/>
          <w:color w:val="auto"/>
          <w:highlight w:val="none"/>
        </w:rPr>
        <w:t>）投标文件实质上没有响应招标文件要求的。</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lang w:val="en-US" w:eastAsia="zh-CN"/>
        </w:rPr>
        <w:t>8</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投标文件中附有招标人不能接受的条件的。</w:t>
      </w:r>
    </w:p>
    <w:p>
      <w:pPr>
        <w:pStyle w:val="2"/>
        <w:pageBreakBefore w:val="0"/>
        <w:kinsoku/>
        <w:wordWrap/>
        <w:overflowPunct/>
        <w:topLinePunct w:val="0"/>
        <w:autoSpaceDE/>
        <w:autoSpaceDN/>
        <w:bidi w:val="0"/>
        <w:spacing w:line="360" w:lineRule="auto"/>
        <w:ind w:left="0" w:leftChars="0" w:firstLine="422" w:firstLineChars="200"/>
        <w:textAlignment w:val="auto"/>
        <w:rPr>
          <w:rFonts w:hint="default"/>
          <w:color w:val="auto"/>
          <w:highlight w:val="none"/>
        </w:rPr>
      </w:pPr>
      <w:r>
        <w:rPr>
          <w:rFonts w:hint="eastAsia" w:ascii="Times New Roman" w:hAnsi="Times New Roman" w:eastAsia="宋体" w:cs="Times New Roman"/>
          <w:b/>
          <w:bCs/>
          <w:color w:val="auto"/>
          <w:kern w:val="2"/>
          <w:sz w:val="21"/>
          <w:szCs w:val="24"/>
          <w:highlight w:val="none"/>
          <w:lang w:val="en-US" w:eastAsia="zh-CN" w:bidi="ar-SA"/>
        </w:rPr>
        <w:t>（9）超过最高限价的。</w:t>
      </w:r>
    </w:p>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四、重新招标</w:t>
      </w:r>
    </w:p>
    <w:p>
      <w:pPr>
        <w:pageBreakBefore w:val="0"/>
        <w:kinsoku/>
        <w:wordWrap/>
        <w:overflowPunct/>
        <w:topLinePunct w:val="0"/>
        <w:autoSpaceDE/>
        <w:autoSpaceDN/>
        <w:bidi w:val="0"/>
        <w:spacing w:line="360" w:lineRule="auto"/>
        <w:textAlignment w:val="auto"/>
        <w:rPr>
          <w:rFonts w:hint="default"/>
          <w:color w:val="auto"/>
          <w:highlight w:val="none"/>
        </w:rPr>
      </w:pPr>
      <w:r>
        <w:rPr>
          <w:rFonts w:hint="default"/>
          <w:color w:val="auto"/>
          <w:highlight w:val="none"/>
        </w:rPr>
        <w:t>有下列情形之一的，招标人将重新招标：</w:t>
      </w:r>
    </w:p>
    <w:p>
      <w:pPr>
        <w:pageBreakBefore w:val="0"/>
        <w:kinsoku/>
        <w:wordWrap/>
        <w:overflowPunct/>
        <w:topLinePunct w:val="0"/>
        <w:autoSpaceDE/>
        <w:autoSpaceDN/>
        <w:bidi w:val="0"/>
        <w:spacing w:line="360" w:lineRule="auto"/>
        <w:textAlignment w:val="auto"/>
        <w:rPr>
          <w:rFonts w:hint="default"/>
          <w:color w:val="auto"/>
          <w:highlight w:val="none"/>
        </w:rPr>
      </w:pPr>
      <w:r>
        <w:rPr>
          <w:rFonts w:hint="default"/>
          <w:color w:val="auto"/>
          <w:highlight w:val="none"/>
        </w:rPr>
        <w:t>1.</w:t>
      </w:r>
      <w:r>
        <w:rPr>
          <w:rFonts w:hint="eastAsia"/>
          <w:color w:val="auto"/>
          <w:highlight w:val="none"/>
          <w:lang w:val="en-US" w:eastAsia="zh-CN"/>
        </w:rPr>
        <w:t xml:space="preserve"> </w:t>
      </w:r>
      <w:r>
        <w:rPr>
          <w:rFonts w:hint="default"/>
          <w:color w:val="auto"/>
          <w:highlight w:val="none"/>
        </w:rPr>
        <w:t>至招标文件下载截止时间止，下载招标文件的投标人少于3个的。</w:t>
      </w:r>
    </w:p>
    <w:p>
      <w:pPr>
        <w:pageBreakBefore w:val="0"/>
        <w:kinsoku/>
        <w:wordWrap/>
        <w:overflowPunct/>
        <w:topLinePunct w:val="0"/>
        <w:autoSpaceDE/>
        <w:autoSpaceDN/>
        <w:bidi w:val="0"/>
        <w:spacing w:line="360" w:lineRule="auto"/>
        <w:textAlignment w:val="auto"/>
        <w:rPr>
          <w:rFonts w:hint="default"/>
          <w:color w:val="auto"/>
          <w:highlight w:val="none"/>
        </w:rPr>
      </w:pPr>
      <w:r>
        <w:rPr>
          <w:rFonts w:hint="default"/>
          <w:color w:val="auto"/>
          <w:highlight w:val="none"/>
        </w:rPr>
        <w:t>2. 投标截止时间止，投标人少于3个的。</w:t>
      </w:r>
    </w:p>
    <w:p>
      <w:pPr>
        <w:pageBreakBefore w:val="0"/>
        <w:kinsoku/>
        <w:wordWrap/>
        <w:overflowPunct/>
        <w:topLinePunct w:val="0"/>
        <w:autoSpaceDE/>
        <w:autoSpaceDN/>
        <w:bidi w:val="0"/>
        <w:spacing w:line="360" w:lineRule="auto"/>
        <w:textAlignment w:val="auto"/>
        <w:rPr>
          <w:rFonts w:hint="eastAsia" w:ascii="宋体" w:hAnsi="宋体" w:cs="宋体"/>
          <w:color w:val="auto"/>
          <w:sz w:val="21"/>
          <w:szCs w:val="21"/>
          <w:highlight w:val="none"/>
          <w:lang w:val="en-US" w:eastAsia="zh-CN"/>
        </w:rPr>
      </w:pPr>
      <w:r>
        <w:rPr>
          <w:rFonts w:hint="default"/>
          <w:color w:val="auto"/>
          <w:highlight w:val="none"/>
        </w:rPr>
        <w:t>3. 评标委员会对所有投标作否决投标处理的，或者评标委员会对一部分投标作否决投标处理后其他有效投标不足三个使得投标明显缺乏竞争，决定否决全部投标的</w:t>
      </w:r>
      <w:r>
        <w:rPr>
          <w:rFonts w:hint="eastAsia"/>
          <w:color w:val="auto"/>
          <w:highlight w:val="none"/>
          <w:lang w:eastAsia="zh-CN"/>
        </w:rPr>
        <w:t>。</w:t>
      </w:r>
      <w:r>
        <w:rPr>
          <w:rFonts w:hint="eastAsia"/>
          <w:color w:val="auto"/>
          <w:highlight w:val="none"/>
          <w:lang w:val="en-US" w:eastAsia="zh-CN"/>
        </w:rPr>
        <w:t>评</w:t>
      </w:r>
      <w:r>
        <w:rPr>
          <w:rFonts w:hint="eastAsia" w:ascii="宋体" w:hAnsi="宋体" w:eastAsia="宋体" w:cs="宋体"/>
          <w:color w:val="auto"/>
          <w:sz w:val="21"/>
          <w:szCs w:val="21"/>
          <w:highlight w:val="none"/>
        </w:rPr>
        <w:t>标委员会认为有效投标仍然具有竞争性的</w:t>
      </w:r>
      <w:r>
        <w:rPr>
          <w:rFonts w:hint="eastAsia" w:ascii="宋体" w:hAnsi="宋体" w:cs="宋体"/>
          <w:color w:val="auto"/>
          <w:sz w:val="21"/>
          <w:szCs w:val="21"/>
          <w:highlight w:val="none"/>
          <w:lang w:val="en-US" w:eastAsia="zh-CN"/>
        </w:rPr>
        <w:t>则继续评审。</w:t>
      </w:r>
    </w:p>
    <w:p>
      <w:pPr>
        <w:pageBreakBefore w:val="0"/>
        <w:kinsoku/>
        <w:wordWrap/>
        <w:overflowPunct/>
        <w:topLinePunct w:val="0"/>
        <w:autoSpaceDE/>
        <w:autoSpaceDN/>
        <w:bidi w:val="0"/>
        <w:spacing w:line="360" w:lineRule="auto"/>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4、如重新</w:t>
      </w:r>
      <w:r>
        <w:rPr>
          <w:rFonts w:hint="eastAsia" w:ascii="Times New Roman" w:hAnsi="Times New Roman" w:eastAsia="宋体" w:cs="Times New Roman"/>
          <w:color w:val="auto"/>
          <w:highlight w:val="none"/>
        </w:rPr>
        <w:t>公开招标</w:t>
      </w:r>
      <w:r>
        <w:rPr>
          <w:rFonts w:hint="eastAsia" w:ascii="Times New Roman" w:hAnsi="Times New Roman" w:eastAsia="宋体" w:cs="Times New Roman"/>
          <w:color w:val="auto"/>
          <w:highlight w:val="none"/>
          <w:lang w:eastAsia="zh-CN"/>
        </w:rPr>
        <w:t>后有效</w:t>
      </w:r>
      <w:r>
        <w:rPr>
          <w:rFonts w:hint="eastAsia" w:ascii="Times New Roman" w:hAnsi="Times New Roman" w:eastAsia="宋体" w:cs="Times New Roman"/>
          <w:color w:val="auto"/>
          <w:highlight w:val="none"/>
        </w:rPr>
        <w:t>投标人数</w:t>
      </w:r>
      <w:r>
        <w:rPr>
          <w:rFonts w:hint="eastAsia" w:ascii="Times New Roman" w:hAnsi="Times New Roman" w:eastAsia="宋体" w:cs="Times New Roman"/>
          <w:color w:val="auto"/>
          <w:highlight w:val="none"/>
          <w:lang w:eastAsia="zh-CN"/>
        </w:rPr>
        <w:t>仍</w:t>
      </w:r>
      <w:r>
        <w:rPr>
          <w:rFonts w:hint="eastAsia" w:ascii="Times New Roman" w:hAnsi="Times New Roman" w:eastAsia="宋体" w:cs="Times New Roman"/>
          <w:color w:val="auto"/>
          <w:highlight w:val="none"/>
        </w:rPr>
        <w:t>不足3家</w:t>
      </w:r>
      <w:r>
        <w:rPr>
          <w:rFonts w:hint="eastAsia" w:ascii="Times New Roman" w:hAnsi="Times New Roman" w:eastAsia="宋体" w:cs="Times New Roman"/>
          <w:color w:val="auto"/>
          <w:highlight w:val="none"/>
          <w:lang w:eastAsia="zh-CN"/>
        </w:rPr>
        <w:t>的，须经采购人同意且完成</w:t>
      </w:r>
      <w:r>
        <w:rPr>
          <w:rFonts w:hint="eastAsia" w:ascii="Times New Roman" w:hAnsi="Times New Roman" w:eastAsia="宋体" w:cs="Times New Roman"/>
          <w:color w:val="auto"/>
          <w:highlight w:val="none"/>
        </w:rPr>
        <w:t>采购方式变更审批程序后</w:t>
      </w:r>
      <w:r>
        <w:rPr>
          <w:rFonts w:hint="eastAsia" w:ascii="Times New Roman" w:hAnsi="Times New Roman" w:eastAsia="宋体" w:cs="Times New Roman"/>
          <w:color w:val="auto"/>
          <w:highlight w:val="none"/>
          <w:lang w:eastAsia="zh-CN"/>
        </w:rPr>
        <w:t>，方可</w:t>
      </w:r>
      <w:r>
        <w:rPr>
          <w:rFonts w:hint="eastAsia" w:ascii="Times New Roman" w:hAnsi="Times New Roman" w:eastAsia="宋体" w:cs="Times New Roman"/>
          <w:color w:val="auto"/>
          <w:highlight w:val="none"/>
        </w:rPr>
        <w:t>变更为竟争性谈判</w:t>
      </w:r>
      <w:r>
        <w:rPr>
          <w:rFonts w:hint="eastAsia" w:ascii="Times New Roman" w:hAnsi="Times New Roman" w:eastAsia="宋体" w:cs="Times New Roman"/>
          <w:color w:val="auto"/>
          <w:highlight w:val="none"/>
          <w:lang w:eastAsia="zh-CN"/>
        </w:rPr>
        <w:t>（二家）</w:t>
      </w:r>
      <w:r>
        <w:rPr>
          <w:rFonts w:hint="eastAsia" w:ascii="Times New Roman" w:hAnsi="Times New Roman" w:eastAsia="宋体" w:cs="Times New Roman"/>
          <w:color w:val="auto"/>
          <w:highlight w:val="none"/>
        </w:rPr>
        <w:t>或单一来源采购</w:t>
      </w:r>
      <w:r>
        <w:rPr>
          <w:rFonts w:hint="eastAsia" w:ascii="Times New Roman" w:hAnsi="Times New Roman" w:eastAsia="宋体" w:cs="Times New Roman"/>
          <w:color w:val="auto"/>
          <w:highlight w:val="none"/>
          <w:lang w:eastAsia="zh-CN"/>
        </w:rPr>
        <w:t>（一家）。</w:t>
      </w:r>
    </w:p>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五、开标</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招标人将在规定的时间和地点进行开标，投标人根据投标文件递交的截止时间前递交。投标人于投标截止时间之后</w:t>
      </w:r>
      <w:r>
        <w:rPr>
          <w:rFonts w:hint="eastAsia" w:cs="Times New Roman"/>
          <w:color w:val="auto"/>
          <w:highlight w:val="none"/>
          <w:lang w:val="en-US" w:eastAsia="zh-CN"/>
        </w:rPr>
        <w:t>三十</w:t>
      </w:r>
      <w:r>
        <w:rPr>
          <w:rFonts w:hint="default" w:ascii="Times New Roman" w:hAnsi="Times New Roman" w:cs="Times New Roman"/>
          <w:color w:val="auto"/>
          <w:highlight w:val="none"/>
        </w:rPr>
        <w:t>分钟内在“浙江海港投标管家”工具端—进入项目—开标—远程开标模块，点击“确认开标结果”按钮进行确认，如超时未确认，视作投标人已对开标结果确认无误。</w:t>
      </w:r>
    </w:p>
    <w:p>
      <w:pPr>
        <w:pStyle w:val="4"/>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六、评标</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（一）组建评标委员会</w:t>
      </w:r>
    </w:p>
    <w:p>
      <w:pPr>
        <w:pageBreakBefore w:val="0"/>
        <w:widowControl/>
        <w:kinsoku/>
        <w:wordWrap/>
        <w:overflowPunct/>
        <w:topLinePunct w:val="0"/>
        <w:autoSpaceDE/>
        <w:autoSpaceDN/>
        <w:bidi w:val="0"/>
        <w:spacing w:line="360" w:lineRule="auto"/>
        <w:jc w:val="left"/>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本项目评标委员会由</w:t>
      </w:r>
      <w:r>
        <w:rPr>
          <w:rFonts w:hint="default" w:ascii="Times New Roman" w:hAnsi="Times New Roman" w:cs="Times New Roman"/>
          <w:color w:val="auto"/>
          <w:sz w:val="21"/>
          <w:szCs w:val="21"/>
          <w:highlight w:val="none"/>
        </w:rPr>
        <w:t>评审专家和招标人代表组成。</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（二）评标的方式</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本项目采用不公开方式评标，评标的依据为招标文件、投标文件及其补充文件（若有）。</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（三）评标程序</w:t>
      </w:r>
    </w:p>
    <w:p>
      <w:pPr>
        <w:pStyle w:val="6"/>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 初步审查</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初审分为资格审查和初步评审。</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资格审查。依据法律法规和招标文件的规定，对投标文件中的资格证明等进行审查，以确定投标供应商是否具备投标资格。</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初步评审。依据招标文件的规定，从投标文件的有效性、完整性、投标保证金和对招标文件的响应程度进行审查，以确定是否对招标文件的实质性要求作出响应。</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在评审过程中按规定否决不合格投标或界定为无效标后，因有效投标人不足三家的，由评标委员会认定本项目剩余有效投标是否具有竞争性，评标委员会认为有效投标仍然具有竞争性的，对有效投标进行评审；如认为没有竞争性的，招标人将重新招标。</w:t>
      </w:r>
    </w:p>
    <w:p>
      <w:pPr>
        <w:pStyle w:val="6"/>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详细评审</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评标委员会对初步评审合格的投标文件，依照本办法对技术、商务内容作进一步评审、比较。评标委员会成员经过阅标、审标和询标，对各投标人进行综合评分。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详细评审即以招标文件为依据，对所有实质上响应的投标分别从“商务”、“技术”、和“价格”三个方面进行评审并按照评分标准进行打分。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评委评分参照本部分附表：评分标准表。由各评标委员会成员评分，根据投标人的投标文件，进行独立评分。评委评分采用记名方式，取算术平均分（小数点后保留二位小数）。</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如有招标文件未规定的情况出现，则由评标委员会集体讨论决定。</w:t>
      </w:r>
    </w:p>
    <w:p>
      <w:pPr>
        <w:pStyle w:val="6"/>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错误修正</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投标文件如果出现计算或表达上的错误，修正错误的原则如下：</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（1）投标文件的大写金额和小写金额不一致的，以大写金额为准；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（2）总价金额与按单价汇总金额不一致的，以单价金额计算结果为准；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（3）对不同文字文本投标文件的解释发生异议的，以中文文本为准；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（4）投标文件中出现前后不一致的情况商务部分以商务标为准，技术部分以技术标为准。</w:t>
      </w:r>
    </w:p>
    <w:p>
      <w:pPr>
        <w:pageBreakBefore w:val="0"/>
        <w:kinsoku/>
        <w:wordWrap/>
        <w:overflowPunct/>
        <w:topLinePunct w:val="0"/>
        <w:autoSpaceDE/>
        <w:autoSpaceDN/>
        <w:bidi w:val="0"/>
        <w:spacing w:line="360" w:lineRule="auto"/>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按上述修正错误的原则及方法修正投标文件的投标报价，</w:t>
      </w:r>
      <w:r>
        <w:rPr>
          <w:rFonts w:hint="eastAsia" w:cs="Times New Roman"/>
          <w:b/>
          <w:bCs/>
          <w:color w:val="auto"/>
          <w:highlight w:val="none"/>
          <w:lang w:val="en-US" w:eastAsia="zh-CN"/>
        </w:rPr>
        <w:t>如果投标人接受修正后的报价，则经</w:t>
      </w:r>
      <w:r>
        <w:rPr>
          <w:rFonts w:hint="default" w:ascii="Times New Roman" w:hAnsi="Times New Roman" w:cs="Times New Roman"/>
          <w:b/>
          <w:bCs/>
          <w:color w:val="auto"/>
          <w:highlight w:val="none"/>
        </w:rPr>
        <w:t>投标人同意并签字确认后，</w:t>
      </w:r>
      <w:r>
        <w:rPr>
          <w:rFonts w:hint="eastAsia" w:cs="Times New Roman"/>
          <w:b/>
          <w:bCs/>
          <w:color w:val="auto"/>
          <w:highlight w:val="none"/>
          <w:lang w:val="en-US" w:eastAsia="zh-CN"/>
        </w:rPr>
        <w:t>修正</w:t>
      </w:r>
      <w:r>
        <w:rPr>
          <w:rFonts w:hint="default" w:ascii="Times New Roman" w:hAnsi="Times New Roman" w:cs="Times New Roman"/>
          <w:b/>
          <w:bCs/>
          <w:color w:val="auto"/>
          <w:highlight w:val="none"/>
        </w:rPr>
        <w:t>后的投标报价对投标人具有约束作用</w:t>
      </w:r>
      <w:r>
        <w:rPr>
          <w:rFonts w:hint="eastAsia" w:cs="Times New Roman"/>
          <w:b/>
          <w:bCs/>
          <w:color w:val="auto"/>
          <w:highlight w:val="none"/>
          <w:lang w:eastAsia="zh-CN"/>
        </w:rPr>
        <w:t>；</w:t>
      </w:r>
      <w:r>
        <w:rPr>
          <w:rFonts w:hint="default" w:ascii="Times New Roman" w:hAnsi="Times New Roman" w:cs="Times New Roman"/>
          <w:b/>
          <w:bCs/>
          <w:color w:val="auto"/>
          <w:highlight w:val="none"/>
        </w:rPr>
        <w:t>如果投标人不接受修正后的报价，则其投标将作为无效投标处理。</w:t>
      </w:r>
    </w:p>
    <w:p>
      <w:pPr>
        <w:pStyle w:val="6"/>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价格调整的原则</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（1）投标人的报价必须包含本次招标范围内所有内容。</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投标人报价如有漏项，则须将其他投标人报价中该项价格的最高价加入该投标人的投标总价，调整后的投标总价作为评标价格。但在签订合同时，调整部分的价格不计入合同总价，投标人必须免费提供漏项项目。</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（3）如投标人的报价包含了招标范围之外的内容，则投标价格不予调整。但在签订合同时，超出部分设备及相应价格应予以剔除。</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（4）如果投标人不接受上述调整原则，则投标文件作无效标处理。</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（5）调整后的价格作为投标人的评标价，按照相应的价格评分方式评分。</w:t>
      </w:r>
    </w:p>
    <w:p>
      <w:pPr>
        <w:pageBreakBefore w:val="0"/>
        <w:kinsoku/>
        <w:wordWrap/>
        <w:overflowPunct/>
        <w:topLinePunct w:val="0"/>
        <w:autoSpaceDE/>
        <w:autoSpaceDN/>
        <w:bidi w:val="0"/>
        <w:spacing w:line="360" w:lineRule="auto"/>
        <w:textAlignment w:val="auto"/>
        <w:rPr>
          <w:rFonts w:hint="eastAsia" w:eastAsia="宋体"/>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）调整后的最终投标报价若超过最高投标限价（如有），评标委员会应否决其投标。</w:t>
      </w:r>
    </w:p>
    <w:p>
      <w:pPr>
        <w:pStyle w:val="6"/>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澄清问题</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可以书面形式要求投标人对投标文件中含义不明确、对同类问题表述不一致或者有明显文字和计算错误的内容作必要的澄清、说明或者纠正。有关澄清的要求和回复均应以书面形式提交，澄清、说明或者纠正必须有法人或法人授权人签字确认，不得超出投标文件的范围或者改变投标文件的实质性内容，且视为投标文件的组成部分，并汇总纳入评标报告。</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cs="Times New Roman"/>
          <w:color w:val="auto"/>
          <w:highlight w:val="none"/>
          <w:lang w:val="en-US" w:eastAsia="zh-CN"/>
        </w:rPr>
        <w:t>四</w:t>
      </w:r>
      <w:r>
        <w:rPr>
          <w:rFonts w:hint="default" w:ascii="Times New Roman" w:hAnsi="Times New Roman" w:cs="Times New Roman"/>
          <w:color w:val="auto"/>
          <w:highlight w:val="none"/>
        </w:rPr>
        <w:t>）评标原则和评标办法</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kern w:val="2"/>
          <w:szCs w:val="21"/>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评标办法。本项目评标办法是</w:t>
      </w:r>
      <w:r>
        <w:rPr>
          <w:rFonts w:hint="default" w:ascii="Times New Roman" w:hAnsi="Times New Roman" w:cs="Times New Roman"/>
          <w:b/>
          <w:bCs/>
          <w:i w:val="0"/>
          <w:iCs w:val="0"/>
          <w:color w:val="auto"/>
          <w:highlight w:val="none"/>
          <w:u w:val="single"/>
        </w:rPr>
        <w:t>综合评分法</w:t>
      </w:r>
      <w:r>
        <w:rPr>
          <w:rFonts w:hint="default" w:ascii="Times New Roman" w:hAnsi="Times New Roman" w:cs="Times New Roman"/>
          <w:color w:val="auto"/>
          <w:highlight w:val="none"/>
        </w:rPr>
        <w:t>，具体评标内容及评分标准等详见《第四章：评标办法及评分标准》。</w:t>
      </w:r>
    </w:p>
    <w:p>
      <w:pPr>
        <w:pStyle w:val="5"/>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cs="Times New Roman"/>
          <w:color w:val="auto"/>
          <w:highlight w:val="none"/>
          <w:lang w:val="en-US" w:eastAsia="zh-CN"/>
        </w:rPr>
        <w:t>五</w:t>
      </w:r>
      <w:r>
        <w:rPr>
          <w:rFonts w:hint="default" w:ascii="Times New Roman" w:hAnsi="Times New Roman" w:cs="Times New Roman"/>
          <w:color w:val="auto"/>
          <w:highlight w:val="none"/>
        </w:rPr>
        <w:t>）评标过程的监控</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投标人在评标过程中所进行的试图影响评标结果的不公正活动，可能导致其投标被拒绝。</w:t>
      </w:r>
    </w:p>
    <w:p>
      <w:pPr>
        <w:pStyle w:val="5"/>
        <w:pageBreakBefore w:val="0"/>
        <w:kinsoku/>
        <w:wordWrap/>
        <w:overflowPunct/>
        <w:topLinePunct w:val="0"/>
        <w:autoSpaceDE/>
        <w:autoSpaceDN/>
        <w:bidi w:val="0"/>
        <w:spacing w:line="360" w:lineRule="auto"/>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七</w:t>
      </w:r>
      <w:r>
        <w:rPr>
          <w:rFonts w:hint="eastAsia" w:cs="Times New Roman"/>
          <w:color w:val="auto"/>
          <w:highlight w:val="none"/>
          <w:lang w:eastAsia="zh-CN"/>
        </w:rPr>
        <w:t>、</w:t>
      </w:r>
      <w:r>
        <w:rPr>
          <w:rFonts w:hint="default" w:ascii="Times New Roman" w:hAnsi="Times New Roman" w:cs="Times New Roman"/>
          <w:color w:val="auto"/>
          <w:highlight w:val="none"/>
        </w:rPr>
        <w:t>定标</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评标结束后，评标结果在浙江省海港集团、宁波舟山港集团电子招标采购平台网站上公示</w:t>
      </w:r>
      <w:r>
        <w:rPr>
          <w:rFonts w:hint="eastAsia" w:cs="Times New Roman"/>
          <w:color w:val="auto"/>
          <w:highlight w:val="none"/>
          <w:lang w:val="en-US" w:eastAsia="zh-CN"/>
        </w:rPr>
        <w:t>不少于3日</w:t>
      </w:r>
      <w:r>
        <w:rPr>
          <w:rFonts w:hint="default" w:ascii="Times New Roman" w:hAnsi="Times New Roman" w:cs="Times New Roman"/>
          <w:color w:val="auto"/>
          <w:highlight w:val="none"/>
        </w:rPr>
        <w:t>。</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投标人对评标结果无异议的，招标人将确定排名第一的中标候选人为中标人。如有投标人对评标结果提出质疑的，招标人可在质疑处理完毕后确定中标人。</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招标人依法确定中标人后，将在浙江省海港集团、宁波舟山港集团电子招标采购平台发出《中标通知书》。</w:t>
      </w:r>
    </w:p>
    <w:p>
      <w:pPr>
        <w:pStyle w:val="5"/>
        <w:pageBreakBefore w:val="0"/>
        <w:kinsoku/>
        <w:wordWrap/>
        <w:overflowPunct/>
        <w:topLinePunct w:val="0"/>
        <w:autoSpaceDE/>
        <w:autoSpaceDN/>
        <w:bidi w:val="0"/>
        <w:spacing w:line="360" w:lineRule="auto"/>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八</w:t>
      </w:r>
      <w:r>
        <w:rPr>
          <w:rFonts w:hint="eastAsia" w:cs="Times New Roman"/>
          <w:color w:val="auto"/>
          <w:highlight w:val="none"/>
          <w:lang w:eastAsia="zh-CN"/>
        </w:rPr>
        <w:t>、</w:t>
      </w:r>
      <w:r>
        <w:rPr>
          <w:rFonts w:hint="default" w:ascii="Times New Roman" w:hAnsi="Times New Roman" w:cs="Times New Roman"/>
          <w:color w:val="auto"/>
          <w:highlight w:val="none"/>
        </w:rPr>
        <w:t>合同授予</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宁波油港轮驳</w:t>
      </w:r>
      <w:r>
        <w:rPr>
          <w:rFonts w:hint="default" w:ascii="Times New Roman" w:hAnsi="Times New Roman" w:cs="Times New Roman"/>
          <w:color w:val="auto"/>
          <w:highlight w:val="none"/>
          <w:lang w:eastAsia="zh-CN"/>
        </w:rPr>
        <w:t>有限公司</w:t>
      </w:r>
      <w:r>
        <w:rPr>
          <w:rFonts w:hint="default" w:ascii="Times New Roman" w:hAnsi="Times New Roman" w:cs="Times New Roman"/>
          <w:color w:val="auto"/>
          <w:highlight w:val="none"/>
        </w:rPr>
        <w:t>与中标人应当在《中标通知书》发出之日起30日内签订合同。同时对合同内容进行审查，如发现与招标结果和投标承诺内容不一致的，应予以纠正。</w:t>
      </w:r>
    </w:p>
    <w:p>
      <w:pPr>
        <w:pageBreakBefore w:val="0"/>
        <w:kinsoku/>
        <w:wordWrap/>
        <w:overflowPunct/>
        <w:topLinePunct w:val="0"/>
        <w:autoSpaceDE/>
        <w:autoSpaceDN/>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中标人拖延、拒签合同的</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将被扣罚投标保证金并取消中标资格。</w:t>
      </w:r>
      <w:bookmarkStart w:id="36" w:name="_Toc10133"/>
    </w:p>
    <w:p>
      <w:pPr>
        <w:rPr>
          <w:rFonts w:hint="default"/>
          <w:color w:val="auto"/>
          <w:highlight w:val="none"/>
        </w:rPr>
      </w:pPr>
      <w:r>
        <w:rPr>
          <w:rFonts w:hint="default" w:ascii="Times New Roman" w:hAnsi="Times New Roman" w:cs="Times New Roman"/>
          <w:color w:val="auto"/>
          <w:highlight w:val="none"/>
        </w:rPr>
        <w:br w:type="page"/>
      </w:r>
    </w:p>
    <w:p>
      <w:pPr>
        <w:pStyle w:val="3"/>
        <w:keepNext w:val="0"/>
        <w:keepLines w:val="0"/>
        <w:pageBreakBefore w:val="0"/>
        <w:widowControl w:val="0"/>
        <w:kinsoku/>
        <w:wordWrap/>
        <w:overflowPunct/>
        <w:topLinePunct w:val="0"/>
        <w:autoSpaceDE/>
        <w:autoSpaceDN/>
        <w:bidi w:val="0"/>
        <w:adjustRightInd/>
        <w:snapToGrid w:val="0"/>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第</w:t>
      </w:r>
      <w:bookmarkStart w:id="37" w:name="_Toc1645"/>
      <w:r>
        <w:rPr>
          <w:rFonts w:hint="default" w:ascii="Times New Roman" w:hAnsi="Times New Roman" w:cs="Times New Roman"/>
          <w:color w:val="auto"/>
          <w:highlight w:val="none"/>
        </w:rPr>
        <w:t>四章  评标办法及评分标准</w:t>
      </w:r>
      <w:bookmarkEnd w:id="36"/>
    </w:p>
    <w:p>
      <w:pPr>
        <w:pStyle w:val="4"/>
        <w:pageBreakBefore w:val="0"/>
        <w:kinsoku/>
        <w:wordWrap/>
        <w:overflowPunct/>
        <w:topLinePunct w:val="0"/>
        <w:bidi w:val="0"/>
        <w:textAlignment w:val="auto"/>
        <w:rPr>
          <w:rFonts w:hint="default" w:ascii="Times New Roman" w:hAnsi="Times New Roman" w:cs="Times New Roman"/>
          <w:b/>
          <w:bCs w:val="0"/>
          <w:color w:val="auto"/>
          <w:szCs w:val="21"/>
          <w:highlight w:val="none"/>
        </w:rPr>
      </w:pPr>
      <w:r>
        <w:rPr>
          <w:rFonts w:hint="default" w:ascii="Times New Roman" w:hAnsi="Times New Roman" w:cs="Times New Roman"/>
          <w:b/>
          <w:bCs w:val="0"/>
          <w:color w:val="auto"/>
          <w:szCs w:val="21"/>
          <w:highlight w:val="none"/>
        </w:rPr>
        <w:t>一、总则</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eastAsia" w:ascii="宋体" w:hAnsi="宋体" w:cs="宋体"/>
          <w:color w:val="auto"/>
          <w:szCs w:val="21"/>
          <w:highlight w:val="none"/>
        </w:rPr>
        <w:t>宁波</w:t>
      </w:r>
      <w:r>
        <w:rPr>
          <w:rFonts w:hint="eastAsia" w:ascii="宋体" w:hAnsi="宋体" w:cs="宋体"/>
          <w:color w:val="auto"/>
          <w:szCs w:val="21"/>
          <w:highlight w:val="none"/>
          <w:lang w:val="en-US" w:eastAsia="zh-CN"/>
        </w:rPr>
        <w:t>油港轮驳</w:t>
      </w:r>
      <w:r>
        <w:rPr>
          <w:rFonts w:hint="eastAsia" w:ascii="宋体" w:hAnsi="宋体" w:cs="宋体"/>
          <w:color w:val="auto"/>
          <w:szCs w:val="21"/>
          <w:highlight w:val="none"/>
        </w:rPr>
        <w:t>有限公司</w:t>
      </w:r>
      <w:r>
        <w:rPr>
          <w:rFonts w:hint="eastAsia" w:ascii="宋体" w:hAnsi="宋体" w:cs="宋体"/>
          <w:color w:val="auto"/>
          <w:szCs w:val="21"/>
          <w:highlight w:val="none"/>
          <w:lang w:eastAsia="zh-CN"/>
        </w:rPr>
        <w:t>【甬港拖33】轮修理项目（2026年度）</w:t>
      </w:r>
      <w:r>
        <w:rPr>
          <w:rFonts w:hint="default" w:ascii="Times New Roman" w:hAnsi="Times New Roman" w:cs="Times New Roman"/>
          <w:color w:val="auto"/>
          <w:highlight w:val="none"/>
        </w:rPr>
        <w:t>采取公开招标形式选择</w:t>
      </w:r>
      <w:r>
        <w:rPr>
          <w:rFonts w:hint="default" w:ascii="Times New Roman" w:hAnsi="Times New Roman" w:cs="Times New Roman"/>
          <w:color w:val="auto"/>
          <w:highlight w:val="none"/>
          <w:lang w:val="en-US" w:eastAsia="zh-CN"/>
        </w:rPr>
        <w:t>投标人</w:t>
      </w:r>
      <w:r>
        <w:rPr>
          <w:rFonts w:hint="default" w:ascii="Times New Roman" w:hAnsi="Times New Roman" w:cs="Times New Roman"/>
          <w:color w:val="auto"/>
          <w:highlight w:val="none"/>
        </w:rPr>
        <w:t>。为保证招标“公开、公平、公正”，根据相关法律、法规，结合本项目的特点，制定本评标办法。</w:t>
      </w:r>
    </w:p>
    <w:p>
      <w:pPr>
        <w:pStyle w:val="4"/>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二、评标组织</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评标委员会：根据项目的内容特点按照浙江省海港集团、宁波舟山港集团有限公司相关规定组建评标委员会。评标委员会由招标人代表、技术及经济方面专家等有关人员组成。</w:t>
      </w:r>
    </w:p>
    <w:p>
      <w:pPr>
        <w:pStyle w:val="4"/>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三、评标程序</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bookmarkStart w:id="38" w:name="OLE_LINK3"/>
      <w:r>
        <w:rPr>
          <w:rFonts w:hint="default" w:ascii="Times New Roman" w:hAnsi="Times New Roman" w:cs="Times New Roman"/>
          <w:color w:val="auto"/>
          <w:highlight w:val="none"/>
        </w:rPr>
        <w:t>1. 初步审查</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初审分为资格审查和初步评审。</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资格审查。依据法律法规和招标文件的规定，对投标文件中的资格证明等进行审查，以确定投标供应商是否具备投标资格。</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初步评审。依据招标文件的规定，从投标文件的有效性、完整性、投标保证金和对招标文件的响应程度进行审查，以确定是否对招标文件的实质性要求作出响应。</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在评审过程中按规定否决不合格投标或界定为无效标后，因有效投标人不足三家的，由评标委员会认定本项目剩余有效投标是否具有竞争性，评标委员会认为有效投标仍然具有竞争性的，对有效投标进行评审；如认为没有竞争性的，招标人将重新招标。</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详细评审</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评标委员会对初步评审合格的投标文件，依照本办法对技术、商务内容作进一步评审、比较。评标委员会成员经过阅标、审标和询标，对各投标人进行综合评分。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详细评审即以招标文件为依据，对所有实质上响应的投标分别从“商务”、“技术”、和“价格”三个方面进行评审并按照评分标准进行打分。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评委评分参照本部分附表：评分标准表。由各评标委员会成员评分，根据投标人的投标文件，进行独立评分。评委评分采用记名方式，取算术平均分（小数点后保留二位小数）。</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如有招标文件未规定的情况出现，则由评标委员会集体讨论决定。</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错误修正</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投标文件如果出现计算或表达上的错误，修正错误的原则如下：</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（1）投标文件的大写金额和小写金额不一致的，以大写金额为准；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（2）总价金额与按单价汇总金额不一致的，以单价金额计算结果为准；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（3）对不同文字文本投标文件的解释发生异议的，以中文文本为准；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（4）投标文件中出现前后不一致的情况商务部分以商务标为准，技术部分以技术标为准。</w:t>
      </w:r>
    </w:p>
    <w:p>
      <w:pPr>
        <w:pageBreakBefore w:val="0"/>
        <w:kinsoku/>
        <w:wordWrap/>
        <w:overflowPunct/>
        <w:topLinePunct w:val="0"/>
        <w:bidi w:val="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按上述修正错误的原则及方法修正投标文件的投标报价，</w:t>
      </w:r>
      <w:r>
        <w:rPr>
          <w:rFonts w:hint="eastAsia" w:cs="Times New Roman"/>
          <w:b/>
          <w:bCs/>
          <w:color w:val="auto"/>
          <w:highlight w:val="none"/>
          <w:lang w:val="en-US" w:eastAsia="zh-CN"/>
        </w:rPr>
        <w:t>如果投标人接受修正后的报价，则经</w:t>
      </w:r>
      <w:r>
        <w:rPr>
          <w:rFonts w:hint="default" w:ascii="Times New Roman" w:hAnsi="Times New Roman" w:cs="Times New Roman"/>
          <w:b/>
          <w:bCs/>
          <w:color w:val="auto"/>
          <w:highlight w:val="none"/>
        </w:rPr>
        <w:t>投标人同意并签字确认后，</w:t>
      </w:r>
      <w:r>
        <w:rPr>
          <w:rFonts w:hint="eastAsia" w:cs="Times New Roman"/>
          <w:b/>
          <w:bCs/>
          <w:color w:val="auto"/>
          <w:highlight w:val="none"/>
          <w:lang w:val="en-US" w:eastAsia="zh-CN"/>
        </w:rPr>
        <w:t>修正</w:t>
      </w:r>
      <w:r>
        <w:rPr>
          <w:rFonts w:hint="default" w:ascii="Times New Roman" w:hAnsi="Times New Roman" w:cs="Times New Roman"/>
          <w:b/>
          <w:bCs/>
          <w:color w:val="auto"/>
          <w:highlight w:val="none"/>
        </w:rPr>
        <w:t>后的投标报价对投标人具有约束作用</w:t>
      </w:r>
      <w:r>
        <w:rPr>
          <w:rFonts w:hint="eastAsia" w:cs="Times New Roman"/>
          <w:b/>
          <w:bCs/>
          <w:color w:val="auto"/>
          <w:highlight w:val="none"/>
          <w:lang w:eastAsia="zh-CN"/>
        </w:rPr>
        <w:t>；</w:t>
      </w:r>
      <w:r>
        <w:rPr>
          <w:rFonts w:hint="default" w:ascii="Times New Roman" w:hAnsi="Times New Roman" w:cs="Times New Roman"/>
          <w:b/>
          <w:bCs/>
          <w:color w:val="auto"/>
          <w:highlight w:val="none"/>
        </w:rPr>
        <w:t>如果投标人不接受修正后的报价，则其投标将作为无效投标处理。</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价格调整的原则</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（1）投标人的报价必须包含本次招标范围内所有内容。</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投标人报价如有漏项，则须将其他投标人报价中该项价格的最高价加入该投标人的投标总价，调整后的投标总价作为评标价格。但在签订合同时，调整部分的价格不计入合同总价，投标人必须免费提供漏项项目。</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（3）如投标人的报价包含了招标范围之外的内容，则投标价格不予调整。但在签订合同时，超出部分设备及相应价格应予以剔除。</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（4）如果投标人不接受上述调整原则，则投标文件作无效标处理。</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（5）调整后的价格作为投标人的评标价，按照相应的价格评分方式评分。</w:t>
      </w:r>
    </w:p>
    <w:p>
      <w:pPr>
        <w:pageBreakBefore w:val="0"/>
        <w:kinsoku/>
        <w:wordWrap/>
        <w:overflowPunct/>
        <w:topLinePunct w:val="0"/>
        <w:bidi w:val="0"/>
        <w:textAlignment w:val="auto"/>
        <w:rPr>
          <w:rFonts w:hint="eastAsia" w:eastAsia="宋体"/>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）调整后的最终投标报价若超过最高投标限价（如有），评标委员会应否决其投标。</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澄清问题</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可以书面形式要求投标人对投标文件中含义不明确、对同类问题表述不一致或者有明显文字和计算错误的内容作必要的澄清、说明或者纠正。有关澄清的要求和回复均应以书面形式提交，澄清、说明或者纠正必须有法人或法人授权人签字确认，不得超出投标文件的范围或者改变投标文件的实质性内容，且视为投标文件的组成部分，并汇总纳入评标报告。</w:t>
      </w:r>
    </w:p>
    <w:bookmarkEnd w:id="38"/>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中标原则</w:t>
      </w:r>
    </w:p>
    <w:p>
      <w:pPr>
        <w:pageBreakBefore w:val="0"/>
        <w:kinsoku/>
        <w:wordWrap/>
        <w:overflowPunct/>
        <w:topLinePunct w:val="0"/>
        <w:bidi w:val="0"/>
        <w:textAlignment w:val="auto"/>
        <w:rPr>
          <w:rFonts w:hint="eastAsia"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评标委员会根据各投标人的综合得分高低排定顺序，推荐综合得分最高的投标人为第一中标候选人；综合得分第二的投标人为第二中标候选人。如投标人的综合得分相同，则投标价低者优先；如投标价也相同，则技术分高者优先；如技术分也相同，则由投标人抽签决定。</w:t>
      </w:r>
    </w:p>
    <w:p>
      <w:pPr>
        <w:pStyle w:val="6"/>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w:t>
      </w:r>
      <w:r>
        <w:rPr>
          <w:rFonts w:hint="default" w:ascii="Times New Roman" w:hAnsi="Times New Roman" w:cs="Times New Roman"/>
          <w:color w:val="auto"/>
          <w:highlight w:val="none"/>
          <w:lang w:val="en-US" w:eastAsia="zh-CN"/>
        </w:rPr>
        <w:t xml:space="preserve"> </w:t>
      </w:r>
      <w:r>
        <w:rPr>
          <w:rFonts w:hint="eastAsia" w:cs="Times New Roman"/>
          <w:color w:val="auto"/>
          <w:highlight w:val="none"/>
          <w:lang w:val="en-US" w:eastAsia="zh-CN"/>
        </w:rPr>
        <w:t>评标</w:t>
      </w:r>
      <w:r>
        <w:rPr>
          <w:rFonts w:hint="default" w:ascii="Times New Roman" w:hAnsi="Times New Roman" w:cs="Times New Roman"/>
          <w:color w:val="auto"/>
          <w:highlight w:val="none"/>
        </w:rPr>
        <w:t>结果</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招标人将中标结果在浙江省海港集团、宁波舟山港集团电子招标采购平台上公示，根据公示和决标结果，向中标人发出中标通知书。</w:t>
      </w:r>
    </w:p>
    <w:p>
      <w:pPr>
        <w:pageBreakBefore w:val="0"/>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中标人如因自身原因放弃中标或因不可抗力不能履行合同或未按招标文件及投标文件承诺履行的，招标人可选择第二中标候选人为中标人或重新招标。</w:t>
      </w:r>
    </w:p>
    <w:p>
      <w:pPr>
        <w:pStyle w:val="4"/>
        <w:pageBreakBefore w:val="0"/>
        <w:numPr>
          <w:ilvl w:val="0"/>
          <w:numId w:val="1"/>
        </w:numPr>
        <w:kinsoku/>
        <w:wordWrap/>
        <w:overflowPunct/>
        <w:topLinePunct w:val="0"/>
        <w:bidi w:val="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评分标准</w:t>
      </w:r>
      <w:bookmarkEnd w:id="37"/>
      <w:bookmarkStart w:id="39" w:name="_Toc317116871"/>
      <w:bookmarkStart w:id="40" w:name="_Toc16873"/>
    </w:p>
    <w:p>
      <w:pPr>
        <w:pageBreakBefore w:val="0"/>
        <w:kinsoku/>
        <w:wordWrap/>
        <w:overflowPunct/>
        <w:topLinePunct w:val="0"/>
        <w:bidi w:val="0"/>
        <w:textAlignment w:val="auto"/>
        <w:rPr>
          <w:rFonts w:hint="eastAsia"/>
          <w:color w:val="auto"/>
          <w:highlight w:val="none"/>
        </w:rPr>
      </w:pPr>
      <w:r>
        <w:rPr>
          <w:rFonts w:hint="eastAsia"/>
          <w:color w:val="auto"/>
          <w:highlight w:val="none"/>
        </w:rPr>
        <w:t>本项目评审办法是综合评</w:t>
      </w:r>
      <w:r>
        <w:rPr>
          <w:rFonts w:hint="eastAsia"/>
          <w:color w:val="auto"/>
          <w:highlight w:val="none"/>
          <w:lang w:val="en-US" w:eastAsia="zh-CN"/>
        </w:rPr>
        <w:t>分</w:t>
      </w:r>
      <w:r>
        <w:rPr>
          <w:rFonts w:hint="eastAsia"/>
          <w:color w:val="auto"/>
          <w:highlight w:val="none"/>
        </w:rPr>
        <w:t>法。</w:t>
      </w:r>
    </w:p>
    <w:p>
      <w:pPr>
        <w:pageBreakBefore w:val="0"/>
        <w:kinsoku/>
        <w:wordWrap/>
        <w:overflowPunct/>
        <w:topLinePunct w:val="0"/>
        <w:bidi w:val="0"/>
        <w:textAlignment w:val="auto"/>
        <w:rPr>
          <w:rFonts w:hint="eastAsia"/>
          <w:color w:val="auto"/>
          <w:highlight w:val="none"/>
        </w:rPr>
      </w:pPr>
      <w:r>
        <w:rPr>
          <w:rFonts w:hint="eastAsia"/>
          <w:color w:val="auto"/>
          <w:highlight w:val="none"/>
        </w:rPr>
        <w:t>满分100分，综合评</w:t>
      </w:r>
      <w:r>
        <w:rPr>
          <w:rFonts w:hint="eastAsia"/>
          <w:color w:val="auto"/>
          <w:highlight w:val="none"/>
          <w:lang w:val="en-US" w:eastAsia="zh-CN"/>
        </w:rPr>
        <w:t>分</w:t>
      </w:r>
      <w:r>
        <w:rPr>
          <w:rFonts w:hint="eastAsia"/>
          <w:color w:val="auto"/>
          <w:highlight w:val="none"/>
        </w:rPr>
        <w:t>包括商务技术和价格评</w:t>
      </w:r>
      <w:r>
        <w:rPr>
          <w:rFonts w:hint="eastAsia"/>
          <w:color w:val="auto"/>
          <w:highlight w:val="none"/>
          <w:lang w:eastAsia="zh-CN"/>
        </w:rPr>
        <w:t>分</w:t>
      </w:r>
      <w:r>
        <w:rPr>
          <w:rFonts w:hint="eastAsia"/>
          <w:color w:val="auto"/>
          <w:highlight w:val="none"/>
        </w:rPr>
        <w:t>。</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571"/>
        <w:gridCol w:w="690"/>
        <w:gridCol w:w="6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2058" w:type="dxa"/>
            <w:gridSpan w:val="2"/>
            <w:vAlign w:val="center"/>
          </w:tcPr>
          <w:p>
            <w:pPr>
              <w:pageBreakBefore w:val="0"/>
              <w:kinsoku/>
              <w:wordWrap/>
              <w:overflowPunct/>
              <w:topLinePunct w:val="0"/>
              <w:bidi w:val="0"/>
              <w:spacing w:line="360" w:lineRule="auto"/>
              <w:ind w:left="0" w:leftChars="0" w:firstLine="0" w:firstLineChars="0"/>
              <w:jc w:val="both"/>
              <w:textAlignment w:val="auto"/>
              <w:rPr>
                <w:rFonts w:hint="eastAsia" w:ascii="宋体" w:hAnsi="宋体" w:cs="宋体"/>
                <w:color w:val="auto"/>
                <w:szCs w:val="21"/>
                <w:highlight w:val="none"/>
              </w:rPr>
            </w:pPr>
            <w:r>
              <w:rPr>
                <w:rFonts w:hint="eastAsia" w:ascii="宋体" w:hAnsi="宋体" w:cs="宋体"/>
                <w:color w:val="auto"/>
                <w:szCs w:val="21"/>
                <w:highlight w:val="none"/>
              </w:rPr>
              <w:t>评分因素</w:t>
            </w:r>
          </w:p>
        </w:tc>
        <w:tc>
          <w:tcPr>
            <w:tcW w:w="690" w:type="dxa"/>
            <w:vAlign w:val="center"/>
          </w:tcPr>
          <w:p>
            <w:pPr>
              <w:pageBreakBefore w:val="0"/>
              <w:kinsoku/>
              <w:wordWrap/>
              <w:overflowPunct/>
              <w:topLinePunct w:val="0"/>
              <w:bidi w:val="0"/>
              <w:spacing w:line="360" w:lineRule="auto"/>
              <w:ind w:left="0" w:leftChars="0" w:firstLine="0" w:firstLineChars="0"/>
              <w:jc w:val="both"/>
              <w:textAlignment w:val="auto"/>
              <w:rPr>
                <w:rFonts w:hint="eastAsia" w:ascii="宋体" w:hAnsi="宋体" w:cs="宋体"/>
                <w:color w:val="auto"/>
                <w:szCs w:val="21"/>
                <w:highlight w:val="none"/>
              </w:rPr>
            </w:pPr>
            <w:r>
              <w:rPr>
                <w:rFonts w:hint="eastAsia" w:ascii="宋体" w:hAnsi="宋体" w:cs="宋体"/>
                <w:color w:val="auto"/>
                <w:szCs w:val="21"/>
                <w:highlight w:val="none"/>
              </w:rPr>
              <w:t>分值</w:t>
            </w:r>
          </w:p>
        </w:tc>
        <w:tc>
          <w:tcPr>
            <w:tcW w:w="6252" w:type="dxa"/>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评分标准说明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87" w:type="dxa"/>
            <w:vAlign w:val="center"/>
          </w:tcPr>
          <w:p>
            <w:pPr>
              <w:pageBreakBefore w:val="0"/>
              <w:kinsoku/>
              <w:wordWrap/>
              <w:overflowPunct/>
              <w:topLinePunct w:val="0"/>
              <w:bidi w:val="0"/>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价</w:t>
            </w:r>
            <w:r>
              <w:rPr>
                <w:rFonts w:hint="eastAsia" w:ascii="宋体" w:hAnsi="宋体" w:cs="宋体"/>
                <w:color w:val="auto"/>
                <w:szCs w:val="21"/>
                <w:highlight w:val="none"/>
                <w:lang w:val="en-US" w:eastAsia="zh-CN"/>
              </w:rPr>
              <w:t>价</w:t>
            </w:r>
            <w:r>
              <w:rPr>
                <w:rFonts w:hint="eastAsia" w:ascii="宋体" w:hAnsi="宋体" w:cs="宋体"/>
                <w:color w:val="auto"/>
                <w:szCs w:val="21"/>
                <w:highlight w:val="none"/>
              </w:rPr>
              <w:t>格得分</w:t>
            </w:r>
            <w:r>
              <w:rPr>
                <w:rFonts w:hint="eastAsia" w:ascii="宋体" w:hAnsi="宋体" w:cs="宋体"/>
                <w:color w:val="auto"/>
                <w:szCs w:val="21"/>
                <w:highlight w:val="none"/>
                <w:lang w:val="en-US" w:eastAsia="zh-CN"/>
              </w:rPr>
              <w:t>70分</w:t>
            </w:r>
          </w:p>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分</w:t>
            </w:r>
          </w:p>
        </w:tc>
        <w:tc>
          <w:tcPr>
            <w:tcW w:w="1571" w:type="dxa"/>
            <w:vAlign w:val="center"/>
          </w:tcPr>
          <w:p>
            <w:pPr>
              <w:pageBreakBefore w:val="0"/>
              <w:kinsoku/>
              <w:wordWrap/>
              <w:overflowPunct/>
              <w:topLinePunct w:val="0"/>
              <w:bidi w:val="0"/>
              <w:spacing w:line="360" w:lineRule="auto"/>
              <w:ind w:left="0" w:leftChars="0" w:firstLine="0" w:firstLine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价格分</w:t>
            </w:r>
          </w:p>
        </w:tc>
        <w:tc>
          <w:tcPr>
            <w:tcW w:w="690" w:type="dxa"/>
            <w:vAlign w:val="center"/>
          </w:tcPr>
          <w:p>
            <w:pPr>
              <w:pageBreakBefore w:val="0"/>
              <w:kinsoku/>
              <w:wordWrap/>
              <w:overflowPunct/>
              <w:topLinePunct w:val="0"/>
              <w:bidi w:val="0"/>
              <w:spacing w:line="360" w:lineRule="auto"/>
              <w:ind w:left="0" w:leftChars="0"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70</w:t>
            </w:r>
            <w:r>
              <w:rPr>
                <w:rFonts w:hint="eastAsia" w:ascii="宋体" w:hAnsi="宋体" w:cs="宋体"/>
                <w:color w:val="auto"/>
                <w:szCs w:val="21"/>
                <w:highlight w:val="none"/>
                <w:lang w:val="en-US" w:eastAsia="zh-CN"/>
              </w:rPr>
              <w:t>分</w:t>
            </w:r>
          </w:p>
        </w:tc>
        <w:tc>
          <w:tcPr>
            <w:tcW w:w="6252" w:type="dxa"/>
            <w:vAlign w:val="center"/>
          </w:tcPr>
          <w:p>
            <w:pPr>
              <w:pageBreakBefore w:val="0"/>
              <w:kinsoku/>
              <w:wordWrap/>
              <w:overflowPunct/>
              <w:topLinePunct w:val="0"/>
              <w:bidi w:val="0"/>
              <w:spacing w:line="360" w:lineRule="auto"/>
              <w:jc w:val="left"/>
              <w:textAlignment w:val="auto"/>
              <w:rPr>
                <w:rFonts w:hint="eastAsia"/>
              </w:rPr>
            </w:pPr>
            <w:r>
              <w:rPr>
                <w:rFonts w:hint="eastAsia"/>
              </w:rPr>
              <w:t>评标基准价及价格分计算：</w:t>
            </w:r>
          </w:p>
          <w:p>
            <w:pPr>
              <w:pageBreakBefore w:val="0"/>
              <w:kinsoku/>
              <w:wordWrap/>
              <w:overflowPunct/>
              <w:topLinePunct w:val="0"/>
              <w:bidi w:val="0"/>
              <w:spacing w:line="360" w:lineRule="auto"/>
              <w:jc w:val="left"/>
              <w:textAlignment w:val="auto"/>
              <w:rPr>
                <w:rFonts w:hint="eastAsia"/>
              </w:rPr>
            </w:pPr>
            <w:r>
              <w:rPr>
                <w:rFonts w:hint="eastAsia"/>
              </w:rPr>
              <w:t>①投标人为五家及以下，A=评标基准价=经评审合格的投标报价的算术平均值*0.97；</w:t>
            </w:r>
          </w:p>
          <w:p>
            <w:pPr>
              <w:pageBreakBefore w:val="0"/>
              <w:kinsoku/>
              <w:wordWrap/>
              <w:overflowPunct/>
              <w:topLinePunct w:val="0"/>
              <w:bidi w:val="0"/>
              <w:spacing w:line="360" w:lineRule="auto"/>
              <w:jc w:val="left"/>
              <w:textAlignment w:val="auto"/>
              <w:rPr>
                <w:rFonts w:hint="eastAsia"/>
              </w:rPr>
            </w:pPr>
            <w:r>
              <w:rPr>
                <w:rFonts w:hint="eastAsia"/>
              </w:rPr>
              <w:t>②投标人为五家以上，A=评标基准价=经评审合格的投标报价去掉一个最高评标价和一个最低评标价后的算术平均值*0.97。</w:t>
            </w:r>
          </w:p>
          <w:p>
            <w:pPr>
              <w:pageBreakBefore w:val="0"/>
              <w:kinsoku/>
              <w:wordWrap/>
              <w:overflowPunct/>
              <w:topLinePunct w:val="0"/>
              <w:bidi w:val="0"/>
              <w:spacing w:line="360" w:lineRule="auto"/>
              <w:jc w:val="left"/>
              <w:textAlignment w:val="auto"/>
              <w:rPr>
                <w:rFonts w:hint="eastAsia"/>
              </w:rPr>
            </w:pPr>
            <w:r>
              <w:rPr>
                <w:rFonts w:hint="eastAsia"/>
              </w:rPr>
              <w:t xml:space="preserve">B=各有效投标人的有效投标报价，计算价格分方法如下： </w:t>
            </w:r>
          </w:p>
          <w:p>
            <w:pPr>
              <w:pageBreakBefore w:val="0"/>
              <w:kinsoku/>
              <w:wordWrap/>
              <w:overflowPunct/>
              <w:topLinePunct w:val="0"/>
              <w:bidi w:val="0"/>
              <w:spacing w:line="360" w:lineRule="auto"/>
              <w:jc w:val="left"/>
              <w:textAlignment w:val="auto"/>
              <w:rPr>
                <w:rFonts w:hint="eastAsia"/>
              </w:rPr>
            </w:pPr>
            <w:r>
              <w:rPr>
                <w:rFonts w:hint="eastAsia"/>
              </w:rPr>
              <w:t>（1）评标价格为评标基准价的得70分；</w:t>
            </w:r>
          </w:p>
          <w:p>
            <w:pPr>
              <w:pageBreakBefore w:val="0"/>
              <w:kinsoku/>
              <w:wordWrap/>
              <w:overflowPunct/>
              <w:topLinePunct w:val="0"/>
              <w:bidi w:val="0"/>
              <w:spacing w:line="360" w:lineRule="auto"/>
              <w:jc w:val="left"/>
              <w:textAlignment w:val="auto"/>
              <w:rPr>
                <w:rFonts w:hint="eastAsia"/>
              </w:rPr>
            </w:pPr>
            <w:r>
              <w:rPr>
                <w:rFonts w:hint="eastAsia"/>
              </w:rPr>
              <w:t>（2）B≥A，投标人报价得分=70-60×(B-A)/A；</w:t>
            </w:r>
          </w:p>
          <w:p>
            <w:pPr>
              <w:pageBreakBefore w:val="0"/>
              <w:kinsoku/>
              <w:wordWrap/>
              <w:overflowPunct/>
              <w:topLinePunct w:val="0"/>
              <w:bidi w:val="0"/>
              <w:spacing w:line="360" w:lineRule="auto"/>
              <w:jc w:val="left"/>
              <w:textAlignment w:val="auto"/>
              <w:rPr>
                <w:rFonts w:hint="eastAsia"/>
              </w:rPr>
            </w:pPr>
            <w:r>
              <w:rPr>
                <w:rFonts w:hint="eastAsia"/>
              </w:rPr>
              <w:t>（3）B&lt;A，投标人报价得分=70+30×(B-A)/A。</w:t>
            </w:r>
          </w:p>
          <w:p>
            <w:pPr>
              <w:pageBreakBefore w:val="0"/>
              <w:kinsoku/>
              <w:wordWrap/>
              <w:overflowPunct/>
              <w:topLinePunct w:val="0"/>
              <w:bidi w:val="0"/>
              <w:spacing w:line="360" w:lineRule="auto"/>
              <w:ind w:left="0" w:leftChars="0" w:firstLine="0" w:firstLineChars="0"/>
              <w:jc w:val="left"/>
              <w:textAlignment w:val="auto"/>
              <w:rPr>
                <w:rFonts w:hint="eastAsia"/>
              </w:rPr>
            </w:pPr>
            <w:r>
              <w:rPr>
                <w:rFonts w:hint="eastAsia" w:ascii="Times New Roman" w:hAnsi="Times New Roman" w:eastAsia="宋体" w:cs="Times New Roman"/>
                <w:kern w:val="2"/>
                <w:sz w:val="21"/>
                <w:szCs w:val="24"/>
                <w:lang w:val="en-US" w:eastAsia="zh-CN" w:bidi="ar-SA"/>
              </w:rPr>
              <w:t>注:如果税率一致时，以含税价进行评审，如果税率不一致时，以不含税进行评审。以上计算结果保留小数点后两位，第三位四舍五入。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487" w:type="dxa"/>
            <w:vMerge w:val="restart"/>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综合实力1</w:t>
            </w:r>
          </w:p>
        </w:tc>
        <w:tc>
          <w:tcPr>
            <w:tcW w:w="690"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kern w:val="0"/>
                <w:highlight w:val="none"/>
                <w:lang w:val="en-US" w:eastAsia="zh-CN"/>
              </w:rPr>
              <w:t>2分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s="宋体"/>
                <w:color w:val="auto"/>
                <w:szCs w:val="21"/>
                <w:highlight w:val="none"/>
              </w:rPr>
            </w:pPr>
            <w:r>
              <w:rPr>
                <w:rFonts w:hint="eastAsia" w:ascii="宋体" w:hAnsi="宋体"/>
                <w:strike w:val="0"/>
                <w:dstrike w:val="0"/>
                <w:color w:val="auto"/>
                <w:sz w:val="21"/>
                <w:szCs w:val="21"/>
                <w:highlight w:val="none"/>
              </w:rPr>
              <w:t>投标人</w:t>
            </w:r>
            <w:r>
              <w:rPr>
                <w:rFonts w:hint="eastAsia" w:ascii="宋体" w:hAnsi="宋体"/>
                <w:strike w:val="0"/>
                <w:dstrike w:val="0"/>
                <w:color w:val="auto"/>
                <w:sz w:val="21"/>
                <w:szCs w:val="21"/>
                <w:highlight w:val="none"/>
                <w:lang w:val="en-US" w:eastAsia="zh-CN"/>
              </w:rPr>
              <w:t>提供以下认证有效证明：《</w:t>
            </w:r>
            <w:r>
              <w:rPr>
                <w:rFonts w:hint="eastAsia" w:ascii="宋体" w:hAnsi="宋体"/>
                <w:strike w:val="0"/>
                <w:dstrike w:val="0"/>
                <w:color w:val="auto"/>
                <w:sz w:val="21"/>
                <w:szCs w:val="21"/>
                <w:highlight w:val="none"/>
              </w:rPr>
              <w:t>安全生产标准化证书</w:t>
            </w:r>
            <w:r>
              <w:rPr>
                <w:rFonts w:hint="eastAsia" w:ascii="宋体" w:hAnsi="宋体"/>
                <w:strike w:val="0"/>
                <w:dstrike w:val="0"/>
                <w:color w:val="auto"/>
                <w:sz w:val="21"/>
                <w:szCs w:val="21"/>
                <w:highlight w:val="none"/>
                <w:lang w:val="en-US" w:eastAsia="zh-CN"/>
              </w:rPr>
              <w:t>》、《</w:t>
            </w:r>
            <w:r>
              <w:rPr>
                <w:rFonts w:hint="eastAsia" w:ascii="宋体" w:hAnsi="宋体"/>
                <w:strike w:val="0"/>
                <w:dstrike w:val="0"/>
                <w:color w:val="auto"/>
                <w:sz w:val="21"/>
                <w:szCs w:val="21"/>
                <w:highlight w:val="none"/>
              </w:rPr>
              <w:t>质量管理体系认证证书</w:t>
            </w:r>
            <w:r>
              <w:rPr>
                <w:rFonts w:hint="eastAsia" w:ascii="宋体" w:hAnsi="宋体"/>
                <w:strike w:val="0"/>
                <w:dstrike w:val="0"/>
                <w:color w:val="auto"/>
                <w:sz w:val="21"/>
                <w:szCs w:val="21"/>
                <w:highlight w:val="none"/>
                <w:lang w:val="en-US" w:eastAsia="zh-CN"/>
              </w:rPr>
              <w:t>》、《职业健康安全管理体系认证证书》、《环境管理体系认证证书》</w:t>
            </w:r>
            <w:r>
              <w:rPr>
                <w:rFonts w:hint="eastAsia" w:ascii="宋体" w:hAnsi="宋体"/>
                <w:strike w:val="0"/>
                <w:dstrike w:val="0"/>
                <w:color w:val="auto"/>
                <w:sz w:val="21"/>
                <w:szCs w:val="21"/>
                <w:highlight w:val="none"/>
                <w:lang w:eastAsia="zh-CN"/>
              </w:rPr>
              <w:t>，</w:t>
            </w:r>
            <w:r>
              <w:rPr>
                <w:rFonts w:hint="eastAsia" w:ascii="宋体" w:hAnsi="宋体"/>
                <w:strike w:val="0"/>
                <w:dstrike w:val="0"/>
                <w:color w:val="auto"/>
                <w:sz w:val="21"/>
                <w:szCs w:val="21"/>
                <w:highlight w:val="none"/>
                <w:lang w:val="en-US" w:eastAsia="zh-CN"/>
              </w:rPr>
              <w:t>每一项得1分，最高2分，否则不得分。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bCs/>
                <w:color w:val="auto"/>
                <w:szCs w:val="21"/>
                <w:highlight w:val="none"/>
                <w:lang w:val="en-US" w:eastAsia="zh-CN"/>
              </w:rPr>
              <w:t>综合实力2</w:t>
            </w:r>
          </w:p>
        </w:tc>
        <w:tc>
          <w:tcPr>
            <w:tcW w:w="690"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3分</w:t>
            </w:r>
          </w:p>
        </w:tc>
        <w:tc>
          <w:tcPr>
            <w:tcW w:w="6252" w:type="dxa"/>
            <w:vAlign w:val="center"/>
          </w:tcPr>
          <w:p>
            <w:pPr>
              <w:pageBreakBefore w:val="0"/>
              <w:widowControl/>
              <w:kinsoku/>
              <w:wordWrap/>
              <w:overflowPunct/>
              <w:topLinePunct w:val="0"/>
              <w:bidi w:val="0"/>
              <w:spacing w:line="360" w:lineRule="auto"/>
              <w:ind w:left="0" w:leftChars="0" w:firstLine="0" w:firstLineChars="0"/>
              <w:jc w:val="left"/>
              <w:textAlignment w:val="auto"/>
              <w:rPr>
                <w:rFonts w:hint="eastAsia" w:ascii="宋体" w:hAnsi="宋体" w:cs="宋体"/>
                <w:color w:val="auto"/>
                <w:szCs w:val="21"/>
                <w:highlight w:val="none"/>
              </w:rPr>
            </w:pPr>
            <w:r>
              <w:rPr>
                <w:rFonts w:hint="eastAsia" w:ascii="宋体" w:hAnsi="宋体"/>
                <w:color w:val="auto"/>
                <w:sz w:val="21"/>
                <w:szCs w:val="21"/>
                <w:highlight w:val="none"/>
              </w:rPr>
              <w:t>根据投标人的综合实力（</w:t>
            </w:r>
            <w:r>
              <w:rPr>
                <w:rFonts w:hint="eastAsia" w:ascii="宋体" w:hAnsi="宋体"/>
                <w:color w:val="auto"/>
                <w:sz w:val="21"/>
                <w:szCs w:val="21"/>
                <w:highlight w:val="none"/>
                <w:lang w:val="en-US" w:eastAsia="zh-CN"/>
              </w:rPr>
              <w:t>场地</w:t>
            </w:r>
            <w:bookmarkStart w:id="71" w:name="_GoBack"/>
            <w:bookmarkEnd w:id="71"/>
            <w:r>
              <w:rPr>
                <w:rFonts w:hint="eastAsia" w:ascii="宋体" w:hAnsi="宋体"/>
                <w:color w:val="auto"/>
                <w:sz w:val="21"/>
                <w:szCs w:val="21"/>
                <w:highlight w:val="none"/>
              </w:rPr>
              <w:t>规模、船厂地理位置、船坞、码头、航道、生产设备等配套设备</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安全管理能力等</w:t>
            </w:r>
            <w:r>
              <w:rPr>
                <w:rFonts w:hint="eastAsia" w:ascii="宋体" w:hAnsi="宋体"/>
                <w:color w:val="auto"/>
                <w:sz w:val="21"/>
                <w:szCs w:val="21"/>
                <w:highlight w:val="none"/>
              </w:rPr>
              <w:t>）进行综合评估；</w:t>
            </w:r>
            <w:r>
              <w:rPr>
                <w:rFonts w:hint="eastAsia" w:ascii="宋体" w:hAnsi="宋体"/>
                <w:b w:val="0"/>
                <w:bCs w:val="0"/>
                <w:color w:val="auto"/>
                <w:sz w:val="21"/>
                <w:szCs w:val="21"/>
                <w:highlight w:val="none"/>
              </w:rPr>
              <w:t>优（</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val="en-US" w:eastAsia="zh-CN"/>
              </w:rPr>
              <w:t>3</w:t>
            </w:r>
            <w:r>
              <w:rPr>
                <w:rFonts w:hint="eastAsia" w:ascii="宋体" w:hAnsi="宋体"/>
                <w:b w:val="0"/>
                <w:bCs w:val="0"/>
                <w:color w:val="auto"/>
                <w:sz w:val="21"/>
                <w:szCs w:val="21"/>
                <w:highlight w:val="none"/>
              </w:rPr>
              <w:t>]，一般（</w:t>
            </w:r>
            <w:r>
              <w:rPr>
                <w:rFonts w:hint="eastAsia" w:ascii="宋体" w:hAnsi="宋体"/>
                <w:b w:val="0"/>
                <w:bCs w:val="0"/>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rPr>
              <w:t>]，差（0-</w:t>
            </w:r>
            <w:r>
              <w:rPr>
                <w:rFonts w:hint="eastAsia" w:ascii="宋体" w:hAnsi="宋体"/>
                <w:b w:val="0"/>
                <w:bCs w:val="0"/>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缺项0分</w:t>
            </w:r>
            <w:r>
              <w:rPr>
                <w:rFonts w:hint="eastAsia" w:ascii="宋体" w:hAnsi="宋体"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综合实力3</w:t>
            </w:r>
          </w:p>
        </w:tc>
        <w:tc>
          <w:tcPr>
            <w:tcW w:w="690"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2分</w:t>
            </w:r>
          </w:p>
        </w:tc>
        <w:tc>
          <w:tcPr>
            <w:tcW w:w="6252" w:type="dxa"/>
            <w:vAlign w:val="center"/>
          </w:tcPr>
          <w:p>
            <w:pPr>
              <w:pageBreakBefore w:val="0"/>
              <w:tabs>
                <w:tab w:val="left" w:pos="1710"/>
              </w:tabs>
              <w:kinsoku/>
              <w:wordWrap/>
              <w:overflowPunct/>
              <w:topLinePunct w:val="0"/>
              <w:bidi w:val="0"/>
              <w:adjustRightInd w:val="0"/>
              <w:snapToGrid w:val="0"/>
              <w:ind w:left="0" w:leftChars="0" w:right="29" w:rightChars="14" w:firstLine="0" w:firstLineChars="0"/>
              <w:jc w:val="both"/>
              <w:textAlignment w:val="auto"/>
              <w:rPr>
                <w:rFonts w:hint="eastAsia" w:ascii="宋体" w:hAnsi="宋体" w:cs="宋体"/>
                <w:color w:val="auto"/>
                <w:szCs w:val="21"/>
                <w:highlight w:val="none"/>
                <w:lang w:bidi="ar"/>
              </w:rPr>
            </w:pPr>
            <w:r>
              <w:rPr>
                <w:rFonts w:hint="eastAsia" w:ascii="宋体" w:hAnsi="宋体"/>
                <w:color w:val="auto"/>
                <w:sz w:val="21"/>
                <w:szCs w:val="21"/>
                <w:highlight w:val="none"/>
                <w:lang w:val="en-US" w:eastAsia="zh-CN"/>
              </w:rPr>
              <w:t xml:space="preserve">用工规模 </w:t>
            </w:r>
            <w:r>
              <w:rPr>
                <w:rFonts w:hint="default" w:ascii="宋体" w:hAnsi="宋体"/>
                <w:color w:val="auto"/>
                <w:sz w:val="21"/>
                <w:szCs w:val="21"/>
                <w:highlight w:val="none"/>
                <w:lang w:val="en-US" w:eastAsia="zh-CN"/>
              </w:rPr>
              <w:t xml:space="preserve">20 </w:t>
            </w:r>
            <w:r>
              <w:rPr>
                <w:rFonts w:hint="eastAsia" w:ascii="宋体" w:hAnsi="宋体"/>
                <w:color w:val="auto"/>
                <w:sz w:val="21"/>
                <w:szCs w:val="21"/>
                <w:highlight w:val="none"/>
                <w:lang w:val="en-US" w:eastAsia="zh-CN"/>
              </w:rPr>
              <w:t>人以上，提供员工社保证明。得1分，每增加10人加1分，最多2分。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eastAsia" w:ascii="宋体" w:hAnsi="宋体" w:cs="宋体"/>
                <w:color w:val="auto"/>
                <w:szCs w:val="21"/>
                <w:highlight w:val="none"/>
              </w:rPr>
            </w:pPr>
            <w:r>
              <w:rPr>
                <w:rFonts w:hint="eastAsia" w:ascii="宋体" w:hAnsi="宋体"/>
                <w:color w:val="auto"/>
                <w:sz w:val="21"/>
                <w:szCs w:val="21"/>
                <w:highlight w:val="none"/>
              </w:rPr>
              <w:t>维修技术方案</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s="宋体"/>
                <w:color w:val="auto"/>
                <w:szCs w:val="21"/>
                <w:highlight w:val="none"/>
              </w:rPr>
            </w:pPr>
            <w:r>
              <w:rPr>
                <w:rFonts w:hint="eastAsia" w:ascii="宋体" w:hAnsi="宋体"/>
                <w:color w:val="auto"/>
                <w:sz w:val="21"/>
                <w:szCs w:val="21"/>
                <w:highlight w:val="none"/>
              </w:rPr>
              <w:t>修理方案和施工组织。包括前期勘察、船舶所采用的修理和改造施工方案和组织设计的</w:t>
            </w:r>
            <w:r>
              <w:rPr>
                <w:rFonts w:hint="eastAsia" w:ascii="宋体" w:hAnsi="宋体"/>
                <w:color w:val="auto"/>
                <w:sz w:val="21"/>
                <w:szCs w:val="21"/>
                <w:highlight w:val="none"/>
                <w:lang w:val="en-US" w:eastAsia="zh-CN"/>
              </w:rPr>
              <w:t>安全性、</w:t>
            </w:r>
            <w:r>
              <w:rPr>
                <w:rFonts w:hint="eastAsia" w:ascii="宋体" w:hAnsi="宋体"/>
                <w:color w:val="auto"/>
                <w:sz w:val="21"/>
                <w:szCs w:val="21"/>
                <w:highlight w:val="none"/>
              </w:rPr>
              <w:t>合理性、先进性、成熟性</w:t>
            </w:r>
            <w:r>
              <w:rPr>
                <w:rFonts w:hint="eastAsia" w:ascii="宋体" w:hAnsi="宋体"/>
                <w:color w:val="auto"/>
                <w:sz w:val="21"/>
                <w:szCs w:val="21"/>
                <w:highlight w:val="none"/>
                <w:lang w:eastAsia="zh-CN"/>
              </w:rPr>
              <w:t>。</w:t>
            </w:r>
            <w:r>
              <w:rPr>
                <w:rFonts w:hint="eastAsia" w:ascii="宋体" w:hAnsi="宋体"/>
                <w:color w:val="auto"/>
                <w:sz w:val="21"/>
                <w:szCs w:val="21"/>
                <w:highlight w:val="none"/>
              </w:rPr>
              <w:t>优（</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b w:val="0"/>
                <w:bCs w:val="0"/>
                <w:color w:val="auto"/>
                <w:sz w:val="21"/>
                <w:szCs w:val="21"/>
                <w:highlight w:val="none"/>
              </w:rPr>
              <w:t>]</w:t>
            </w:r>
            <w:r>
              <w:rPr>
                <w:rFonts w:hint="eastAsia" w:ascii="宋体" w:hAnsi="宋体"/>
                <w:color w:val="auto"/>
                <w:sz w:val="21"/>
                <w:szCs w:val="21"/>
                <w:highlight w:val="none"/>
              </w:rPr>
              <w:t>，一般（</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b w:val="0"/>
                <w:bCs w:val="0"/>
                <w:color w:val="auto"/>
                <w:sz w:val="21"/>
                <w:szCs w:val="21"/>
                <w:highlight w:val="none"/>
              </w:rPr>
              <w:t>]</w:t>
            </w:r>
            <w:r>
              <w:rPr>
                <w:rFonts w:hint="eastAsia" w:ascii="宋体" w:hAnsi="宋体"/>
                <w:color w:val="auto"/>
                <w:sz w:val="21"/>
                <w:szCs w:val="21"/>
                <w:highlight w:val="none"/>
              </w:rPr>
              <w:t>，差（0-</w:t>
            </w:r>
            <w:r>
              <w:rPr>
                <w:rFonts w:hint="eastAsia" w:ascii="宋体" w:hAnsi="宋体"/>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缺项0分</w:t>
            </w:r>
            <w:r>
              <w:rPr>
                <w:rFonts w:hint="eastAsia" w:ascii="宋体" w:hAnsi="宋体"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kinsoku/>
              <w:wordWrap/>
              <w:overflowPunct/>
              <w:topLinePunct w:val="0"/>
              <w:bidi w:val="0"/>
              <w:snapToGrid w:val="0"/>
              <w:spacing w:line="360" w:lineRule="auto"/>
              <w:ind w:left="0" w:leftChars="0" w:right="-153" w:rightChars="-73"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生产设备1</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s="宋体"/>
                <w:color w:val="auto"/>
                <w:szCs w:val="21"/>
                <w:highlight w:val="none"/>
              </w:rPr>
            </w:pPr>
            <w:r>
              <w:rPr>
                <w:rFonts w:hint="eastAsia" w:ascii="宋体" w:hAnsi="宋体"/>
                <w:color w:val="auto"/>
                <w:sz w:val="21"/>
                <w:szCs w:val="21"/>
                <w:highlight w:val="none"/>
              </w:rPr>
              <w:t>根据投标人提供的生产设备；投标文件描述的承修人所使用的施工、检验设备、场地等符合修理所需码头条件和先进程度。</w:t>
            </w:r>
            <w:r>
              <w:rPr>
                <w:rFonts w:hint="eastAsia" w:ascii="宋体" w:hAnsi="宋体"/>
                <w:b w:val="0"/>
                <w:bCs w:val="0"/>
                <w:color w:val="auto"/>
                <w:sz w:val="21"/>
                <w:szCs w:val="21"/>
                <w:highlight w:val="none"/>
              </w:rPr>
              <w:t>优（</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val="en-US" w:eastAsia="zh-CN"/>
              </w:rPr>
              <w:t>3</w:t>
            </w:r>
            <w:r>
              <w:rPr>
                <w:rFonts w:hint="eastAsia" w:ascii="宋体" w:hAnsi="宋体"/>
                <w:b w:val="0"/>
                <w:bCs w:val="0"/>
                <w:color w:val="auto"/>
                <w:sz w:val="21"/>
                <w:szCs w:val="21"/>
                <w:highlight w:val="none"/>
              </w:rPr>
              <w:t>]，一般（</w:t>
            </w:r>
            <w:r>
              <w:rPr>
                <w:rFonts w:hint="eastAsia" w:ascii="宋体" w:hAnsi="宋体"/>
                <w:b w:val="0"/>
                <w:bCs w:val="0"/>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val="en-US" w:eastAsia="zh-CN"/>
              </w:rPr>
              <w:t>2</w:t>
            </w:r>
            <w:r>
              <w:rPr>
                <w:rFonts w:hint="eastAsia" w:ascii="宋体" w:hAnsi="宋体"/>
                <w:b w:val="0"/>
                <w:bCs w:val="0"/>
                <w:color w:val="auto"/>
                <w:sz w:val="21"/>
                <w:szCs w:val="21"/>
                <w:highlight w:val="none"/>
              </w:rPr>
              <w:t>]，差（0-</w:t>
            </w:r>
            <w:r>
              <w:rPr>
                <w:rFonts w:hint="eastAsia" w:ascii="宋体" w:hAnsi="宋体"/>
                <w:b w:val="0"/>
                <w:bCs w:val="0"/>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缺项0分</w:t>
            </w:r>
            <w:r>
              <w:rPr>
                <w:rFonts w:hint="eastAsia" w:ascii="宋体" w:hAnsi="宋体" w:eastAsia="宋体" w:cs="Times New Roman"/>
                <w:color w:val="auto"/>
                <w:sz w:val="21"/>
                <w:szCs w:val="21"/>
                <w:highlight w:val="none"/>
              </w:rPr>
              <w:t>。</w:t>
            </w:r>
            <w:r>
              <w:rPr>
                <w:rFonts w:hint="eastAsia" w:ascii="宋体" w:hAnsi="宋体" w:cs="宋体"/>
                <w:color w:val="auto"/>
                <w:spacing w:val="-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spacing w:val="-2"/>
                <w:szCs w:val="21"/>
                <w:highlight w:val="none"/>
                <w:lang w:val="en-US" w:eastAsia="zh-CN"/>
              </w:rPr>
            </w:pPr>
            <w:r>
              <w:rPr>
                <w:rFonts w:hint="eastAsia" w:ascii="宋体" w:hAnsi="宋体" w:cs="宋体"/>
                <w:bCs/>
                <w:color w:val="auto"/>
                <w:highlight w:val="none"/>
                <w:lang w:val="en-US" w:eastAsia="zh-CN"/>
              </w:rPr>
              <w:t>生产设备2</w:t>
            </w:r>
          </w:p>
        </w:tc>
        <w:tc>
          <w:tcPr>
            <w:tcW w:w="690"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2分</w:t>
            </w:r>
          </w:p>
        </w:tc>
        <w:tc>
          <w:tcPr>
            <w:tcW w:w="6252" w:type="dxa"/>
            <w:vAlign w:val="center"/>
          </w:tcPr>
          <w:p>
            <w:pPr>
              <w:pageBreakBefore w:val="0"/>
              <w:widowControl/>
              <w:kinsoku/>
              <w:wordWrap/>
              <w:overflowPunct/>
              <w:topLinePunct w:val="0"/>
              <w:bidi w:val="0"/>
              <w:spacing w:line="360" w:lineRule="auto"/>
              <w:ind w:left="0" w:leftChars="0" w:firstLine="0" w:firstLineChars="0"/>
              <w:textAlignment w:val="auto"/>
              <w:rPr>
                <w:rFonts w:hint="eastAsia" w:ascii="宋体" w:hAnsi="宋体" w:cs="宋体"/>
                <w:color w:val="auto"/>
                <w:spacing w:val="-1"/>
                <w:szCs w:val="21"/>
                <w:highlight w:val="none"/>
              </w:rPr>
            </w:pPr>
            <w:r>
              <w:rPr>
                <w:rFonts w:hint="eastAsia" w:ascii="宋体" w:hAnsi="宋体"/>
                <w:color w:val="auto"/>
                <w:sz w:val="21"/>
                <w:szCs w:val="21"/>
                <w:highlight w:val="none"/>
                <w:lang w:val="en-US" w:eastAsia="zh-CN"/>
              </w:rPr>
              <w:t>投标人具有10吨及以上起重设备配合维修工作的，得2分（需提供照片，否则不得分）。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kinsoku/>
              <w:wordWrap/>
              <w:overflowPunct/>
              <w:topLinePunct w:val="0"/>
              <w:bidi w:val="0"/>
              <w:snapToGrid w:val="0"/>
              <w:spacing w:line="360" w:lineRule="auto"/>
              <w:ind w:left="0" w:leftChars="0" w:right="-153" w:rightChars="-73"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生产设备3</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s="宋体"/>
                <w:color w:val="auto"/>
                <w:szCs w:val="21"/>
                <w:highlight w:val="none"/>
                <w:lang w:bidi="ar"/>
              </w:rPr>
            </w:pPr>
            <w:r>
              <w:rPr>
                <w:rFonts w:hint="eastAsia" w:ascii="宋体" w:hAnsi="宋体"/>
                <w:color w:val="auto"/>
                <w:szCs w:val="21"/>
                <w:highlight w:val="none"/>
              </w:rPr>
              <w:t>投标人</w:t>
            </w:r>
            <w:r>
              <w:rPr>
                <w:rFonts w:hint="eastAsia" w:ascii="宋体" w:hAnsi="宋体"/>
                <w:color w:val="auto"/>
                <w:szCs w:val="21"/>
                <w:highlight w:val="none"/>
                <w:lang w:val="en-US" w:eastAsia="zh-CN"/>
              </w:rPr>
              <w:t>有供拖轮停靠的</w:t>
            </w:r>
            <w:r>
              <w:rPr>
                <w:rFonts w:hint="eastAsia" w:ascii="宋体" w:hAnsi="宋体"/>
                <w:color w:val="auto"/>
                <w:szCs w:val="21"/>
                <w:highlight w:val="none"/>
              </w:rPr>
              <w:t>浮码头，</w:t>
            </w:r>
            <w:r>
              <w:rPr>
                <w:rFonts w:hint="eastAsia" w:ascii="宋体" w:hAnsi="宋体"/>
                <w:color w:val="auto"/>
                <w:sz w:val="21"/>
                <w:szCs w:val="21"/>
                <w:highlight w:val="none"/>
                <w:lang w:val="en-US" w:eastAsia="zh-CN"/>
              </w:rPr>
              <w:t>得2分（需提供照片，否则不得分）。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kinsoku/>
              <w:wordWrap/>
              <w:overflowPunct/>
              <w:topLinePunct w:val="0"/>
              <w:bidi w:val="0"/>
              <w:snapToGrid w:val="0"/>
              <w:spacing w:line="360" w:lineRule="auto"/>
              <w:ind w:left="0" w:leftChars="0" w:right="-153" w:rightChars="-73" w:firstLine="0" w:firstLineChars="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人员配置方案</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4分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olor w:val="auto"/>
                <w:szCs w:val="21"/>
                <w:highlight w:val="none"/>
              </w:rPr>
            </w:pPr>
            <w:r>
              <w:rPr>
                <w:rFonts w:hint="eastAsia" w:ascii="宋体" w:hAnsi="宋体" w:eastAsia="宋体" w:cs="Times New Roman"/>
                <w:color w:val="auto"/>
                <w:sz w:val="21"/>
                <w:szCs w:val="21"/>
                <w:highlight w:val="none"/>
              </w:rPr>
              <w:t>根据投标人拟派本项目实施人员配置（包括拟派的项目负责人从业经验、类似案例）技术力量是否满足招标项目进行综合评分，</w:t>
            </w:r>
            <w:r>
              <w:rPr>
                <w:rFonts w:hint="eastAsia" w:ascii="宋体" w:hAnsi="宋体"/>
                <w:color w:val="auto"/>
                <w:sz w:val="21"/>
                <w:szCs w:val="21"/>
                <w:highlight w:val="none"/>
              </w:rPr>
              <w:t>优（</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4</w:t>
            </w:r>
            <w:r>
              <w:rPr>
                <w:rFonts w:hint="eastAsia" w:ascii="宋体" w:hAnsi="宋体"/>
                <w:b w:val="0"/>
                <w:bCs w:val="0"/>
                <w:color w:val="auto"/>
                <w:sz w:val="21"/>
                <w:szCs w:val="21"/>
                <w:highlight w:val="none"/>
              </w:rPr>
              <w:t>]</w:t>
            </w:r>
            <w:r>
              <w:rPr>
                <w:rFonts w:hint="eastAsia" w:ascii="宋体" w:hAnsi="宋体"/>
                <w:color w:val="auto"/>
                <w:sz w:val="21"/>
                <w:szCs w:val="21"/>
                <w:highlight w:val="none"/>
              </w:rPr>
              <w:t>，一般（</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b w:val="0"/>
                <w:bCs w:val="0"/>
                <w:color w:val="auto"/>
                <w:sz w:val="21"/>
                <w:szCs w:val="21"/>
                <w:highlight w:val="none"/>
              </w:rPr>
              <w:t>]</w:t>
            </w:r>
            <w:r>
              <w:rPr>
                <w:rFonts w:hint="eastAsia" w:ascii="宋体" w:hAnsi="宋体"/>
                <w:color w:val="auto"/>
                <w:sz w:val="21"/>
                <w:szCs w:val="21"/>
                <w:highlight w:val="none"/>
              </w:rPr>
              <w:t>，差（0-</w:t>
            </w:r>
            <w:r>
              <w:rPr>
                <w:rFonts w:hint="eastAsia" w:ascii="宋体" w:hAnsi="宋体"/>
                <w:color w:val="auto"/>
                <w:sz w:val="21"/>
                <w:szCs w:val="21"/>
                <w:highlight w:val="none"/>
                <w:lang w:val="en-US" w:eastAsia="zh-CN"/>
              </w:rPr>
              <w:t>1</w:t>
            </w:r>
            <w:r>
              <w:rPr>
                <w:rFonts w:hint="eastAsia" w:ascii="宋体" w:hAnsi="宋体"/>
                <w:b w:val="0"/>
                <w:bCs w:val="0"/>
                <w:color w:val="auto"/>
                <w:sz w:val="21"/>
                <w:szCs w:val="21"/>
                <w:highlight w:val="none"/>
              </w:rPr>
              <w:t>]</w:t>
            </w:r>
            <w:r>
              <w:rPr>
                <w:rFonts w:hint="eastAsia" w:ascii="宋体" w:hAnsi="宋体"/>
                <w:b w:val="0"/>
                <w:bCs w:val="0"/>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缺项0分</w:t>
            </w:r>
            <w:r>
              <w:rPr>
                <w:rFonts w:hint="eastAsia" w:ascii="宋体" w:hAnsi="宋体"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snapToGrid w:val="0"/>
              <w:spacing w:line="360" w:lineRule="auto"/>
              <w:ind w:left="0" w:leftChars="0" w:right="-153" w:rightChars="-73" w:firstLine="0" w:firstLineChars="0"/>
              <w:jc w:val="center"/>
              <w:rPr>
                <w:rFonts w:hint="eastAsia" w:ascii="宋体" w:hAnsi="宋体" w:cs="宋体"/>
                <w:color w:val="auto"/>
                <w:szCs w:val="21"/>
                <w:highlight w:val="none"/>
                <w:lang w:val="en-US" w:eastAsia="zh-CN"/>
              </w:rPr>
            </w:pPr>
            <w:r>
              <w:rPr>
                <w:rFonts w:hint="eastAsia" w:ascii="宋体" w:hAnsi="宋体"/>
                <w:color w:val="auto"/>
                <w:sz w:val="21"/>
                <w:szCs w:val="21"/>
                <w:highlight w:val="none"/>
                <w:lang w:val="en-US" w:eastAsia="zh-CN"/>
              </w:rPr>
              <w:t>交通便捷性</w:t>
            </w:r>
          </w:p>
        </w:tc>
        <w:tc>
          <w:tcPr>
            <w:tcW w:w="690" w:type="dxa"/>
            <w:vAlign w:val="center"/>
          </w:tcPr>
          <w:p>
            <w:pPr>
              <w:widowControl/>
              <w:snapToGrid w:val="0"/>
              <w:spacing w:line="360" w:lineRule="auto"/>
              <w:ind w:left="0" w:leftChars="0" w:firstLine="0" w:firstLineChars="0"/>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3分</w:t>
            </w:r>
          </w:p>
        </w:tc>
        <w:tc>
          <w:tcPr>
            <w:tcW w:w="6252" w:type="dxa"/>
            <w:vAlign w:val="center"/>
          </w:tcPr>
          <w:p>
            <w:pPr>
              <w:spacing w:line="360" w:lineRule="auto"/>
              <w:ind w:left="0" w:leftChars="0" w:firstLine="0" w:firstLineChars="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投标人的修理场所具有</w:t>
            </w:r>
            <w:r>
              <w:rPr>
                <w:rFonts w:hint="eastAsia" w:ascii="宋体" w:hAnsi="宋体" w:eastAsia="宋体" w:cs="Times New Roman"/>
                <w:color w:val="auto"/>
                <w:sz w:val="21"/>
                <w:szCs w:val="21"/>
                <w:highlight w:val="none"/>
              </w:rPr>
              <w:t>便捷</w:t>
            </w:r>
            <w:r>
              <w:rPr>
                <w:rFonts w:hint="eastAsia" w:ascii="宋体" w:hAnsi="宋体" w:eastAsia="宋体" w:cs="Times New Roman"/>
                <w:color w:val="auto"/>
                <w:sz w:val="21"/>
                <w:szCs w:val="21"/>
                <w:highlight w:val="none"/>
                <w:lang w:eastAsia="zh-CN"/>
              </w:rPr>
              <w:t>的</w:t>
            </w:r>
            <w:r>
              <w:rPr>
                <w:rFonts w:hint="eastAsia" w:ascii="宋体" w:hAnsi="宋体" w:eastAsia="宋体" w:cs="Times New Roman"/>
                <w:color w:val="auto"/>
                <w:sz w:val="21"/>
                <w:szCs w:val="21"/>
                <w:highlight w:val="none"/>
              </w:rPr>
              <w:t>陆路</w:t>
            </w:r>
            <w:r>
              <w:rPr>
                <w:rFonts w:hint="eastAsia" w:ascii="宋体" w:hAnsi="宋体" w:eastAsia="宋体" w:cs="Times New Roman"/>
                <w:color w:val="auto"/>
                <w:sz w:val="21"/>
                <w:szCs w:val="21"/>
                <w:highlight w:val="none"/>
                <w:lang w:val="en-US" w:eastAsia="zh-CN"/>
              </w:rPr>
              <w:t>直达交通，</w:t>
            </w:r>
            <w:r>
              <w:rPr>
                <w:rFonts w:hint="eastAsia" w:ascii="宋体" w:hAnsi="宋体" w:eastAsia="宋体" w:cs="Times New Roman"/>
                <w:color w:val="auto"/>
                <w:sz w:val="21"/>
                <w:szCs w:val="21"/>
                <w:highlight w:val="none"/>
              </w:rPr>
              <w:t>可满足大件运输车辆</w:t>
            </w:r>
            <w:r>
              <w:rPr>
                <w:rFonts w:hint="eastAsia" w:ascii="宋体" w:hAnsi="宋体" w:eastAsia="宋体" w:cs="Times New Roman"/>
                <w:color w:val="auto"/>
                <w:sz w:val="21"/>
                <w:szCs w:val="21"/>
                <w:highlight w:val="none"/>
                <w:lang w:val="en-US" w:eastAsia="zh-CN"/>
              </w:rPr>
              <w:t>直接</w:t>
            </w:r>
            <w:r>
              <w:rPr>
                <w:rFonts w:hint="eastAsia" w:ascii="宋体" w:hAnsi="宋体" w:eastAsia="宋体" w:cs="Times New Roman"/>
                <w:color w:val="auto"/>
                <w:sz w:val="21"/>
                <w:szCs w:val="21"/>
                <w:highlight w:val="none"/>
              </w:rPr>
              <w:t>通行</w:t>
            </w:r>
            <w:r>
              <w:rPr>
                <w:rFonts w:hint="eastAsia" w:ascii="宋体" w:hAnsi="宋体" w:eastAsia="宋体" w:cs="Times New Roman"/>
                <w:color w:val="auto"/>
                <w:sz w:val="21"/>
                <w:szCs w:val="21"/>
                <w:highlight w:val="none"/>
                <w:lang w:eastAsia="zh-CN"/>
              </w:rPr>
              <w:t>的，</w:t>
            </w:r>
            <w:r>
              <w:rPr>
                <w:rFonts w:hint="eastAsia" w:ascii="宋体" w:hAnsi="宋体" w:eastAsia="宋体" w:cs="Times New Roman"/>
                <w:color w:val="auto"/>
                <w:sz w:val="21"/>
                <w:szCs w:val="21"/>
                <w:highlight w:val="none"/>
                <w:lang w:val="en-US" w:eastAsia="zh-CN"/>
              </w:rPr>
              <w:t>得3分</w:t>
            </w:r>
            <w:r>
              <w:rPr>
                <w:rFonts w:hint="eastAsia" w:ascii="宋体" w:hAnsi="宋体" w:cs="Times New Roman"/>
                <w:color w:val="auto"/>
                <w:sz w:val="21"/>
                <w:szCs w:val="21"/>
                <w:highlight w:val="none"/>
                <w:lang w:val="en-US" w:eastAsia="zh-CN"/>
              </w:rPr>
              <w:t>（需提供地图上厂址截图，否则不得分）。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kinsoku/>
              <w:wordWrap/>
              <w:overflowPunct/>
              <w:topLinePunct w:val="0"/>
              <w:bidi w:val="0"/>
              <w:snapToGrid w:val="0"/>
              <w:spacing w:line="360" w:lineRule="auto"/>
              <w:ind w:left="0" w:leftChars="0" w:right="-153" w:rightChars="-73" w:firstLine="0" w:firstLineChars="0"/>
              <w:jc w:val="center"/>
              <w:textAlignment w:val="auto"/>
              <w:rPr>
                <w:rFonts w:hint="eastAsia" w:ascii="宋体" w:hAnsi="宋体" w:cs="宋体"/>
                <w:color w:val="auto"/>
                <w:szCs w:val="21"/>
                <w:highlight w:val="none"/>
                <w:lang w:val="en-US" w:eastAsia="zh-CN"/>
              </w:rPr>
            </w:pPr>
            <w:r>
              <w:rPr>
                <w:rFonts w:hint="eastAsia" w:ascii="宋体" w:hAnsi="宋体"/>
                <w:color w:val="auto"/>
                <w:sz w:val="21"/>
                <w:szCs w:val="21"/>
                <w:highlight w:val="none"/>
              </w:rPr>
              <w:t>修理进度计划</w:t>
            </w:r>
            <w:r>
              <w:rPr>
                <w:rFonts w:hint="eastAsia" w:ascii="宋体" w:hAnsi="宋体"/>
                <w:color w:val="auto"/>
                <w:sz w:val="21"/>
                <w:szCs w:val="21"/>
                <w:highlight w:val="none"/>
                <w:lang w:val="en-US" w:eastAsia="zh-CN"/>
              </w:rPr>
              <w:t>1</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olor w:val="auto"/>
                <w:szCs w:val="21"/>
                <w:highlight w:val="none"/>
              </w:rPr>
            </w:pPr>
            <w:r>
              <w:rPr>
                <w:rFonts w:hint="eastAsia" w:ascii="宋体" w:hAnsi="宋体"/>
                <w:color w:val="auto"/>
                <w:sz w:val="21"/>
                <w:szCs w:val="21"/>
                <w:highlight w:val="none"/>
              </w:rPr>
              <w:t>根据投标人修理进度计划及保障措施进行综合评议。</w:t>
            </w:r>
            <w:r>
              <w:rPr>
                <w:rFonts w:hint="eastAsia" w:ascii="宋体" w:hAnsi="宋体"/>
                <w:color w:val="auto"/>
                <w:sz w:val="21"/>
                <w:szCs w:val="21"/>
                <w:highlight w:val="none"/>
                <w:lang w:val="en-US" w:eastAsia="zh-CN"/>
              </w:rPr>
              <w:t>修理周期小于22日历天的。每少1天</w:t>
            </w:r>
            <w:r>
              <w:rPr>
                <w:rFonts w:hint="eastAsia" w:ascii="宋体" w:hAnsi="宋体" w:eastAsia="宋体" w:cs="Times New Roman"/>
                <w:color w:val="auto"/>
                <w:sz w:val="21"/>
                <w:szCs w:val="21"/>
                <w:highlight w:val="none"/>
                <w:lang w:val="en-US" w:eastAsia="zh-CN"/>
              </w:rPr>
              <w:t>得1分，最多得</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w:t>
            </w:r>
            <w:r>
              <w:rPr>
                <w:rFonts w:hint="eastAsia" w:ascii="宋体" w:hAnsi="宋体"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kinsoku/>
              <w:wordWrap/>
              <w:overflowPunct/>
              <w:topLinePunct w:val="0"/>
              <w:bidi w:val="0"/>
              <w:snapToGrid w:val="0"/>
              <w:spacing w:line="360" w:lineRule="auto"/>
              <w:ind w:left="0" w:leftChars="0" w:right="-153" w:rightChars="-73" w:firstLine="0" w:firstLineChars="0"/>
              <w:jc w:val="center"/>
              <w:textAlignment w:val="auto"/>
              <w:rPr>
                <w:rFonts w:hint="eastAsia" w:ascii="宋体" w:hAnsi="宋体" w:cs="宋体"/>
                <w:color w:val="auto"/>
                <w:szCs w:val="21"/>
                <w:highlight w:val="none"/>
                <w:lang w:val="en-US" w:eastAsia="zh-CN"/>
              </w:rPr>
            </w:pPr>
            <w:r>
              <w:rPr>
                <w:rFonts w:hint="eastAsia" w:ascii="宋体" w:hAnsi="宋体"/>
                <w:color w:val="auto"/>
                <w:sz w:val="21"/>
                <w:szCs w:val="21"/>
                <w:highlight w:val="none"/>
              </w:rPr>
              <w:t>修理进度计划</w:t>
            </w:r>
            <w:r>
              <w:rPr>
                <w:rFonts w:hint="eastAsia" w:ascii="宋体" w:hAnsi="宋体"/>
                <w:color w:val="auto"/>
                <w:sz w:val="21"/>
                <w:szCs w:val="21"/>
                <w:highlight w:val="none"/>
                <w:lang w:val="en-US" w:eastAsia="zh-CN"/>
              </w:rPr>
              <w:t>2</w:t>
            </w:r>
          </w:p>
        </w:tc>
        <w:tc>
          <w:tcPr>
            <w:tcW w:w="690" w:type="dxa"/>
            <w:vAlign w:val="center"/>
          </w:tcPr>
          <w:p>
            <w:pPr>
              <w:pageBreakBefore w:val="0"/>
              <w:widowControl/>
              <w:kinsoku/>
              <w:wordWrap/>
              <w:overflowPunct/>
              <w:topLinePunct w:val="0"/>
              <w:bidi w:val="0"/>
              <w:snapToGrid w:val="0"/>
              <w:spacing w:line="360" w:lineRule="auto"/>
              <w:ind w:left="0" w:leftChars="0" w:firstLine="0" w:firstLineChars="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2分</w:t>
            </w:r>
          </w:p>
        </w:tc>
        <w:tc>
          <w:tcPr>
            <w:tcW w:w="6252" w:type="dxa"/>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color w:val="auto"/>
                <w:szCs w:val="21"/>
                <w:highlight w:val="none"/>
              </w:rPr>
            </w:pPr>
            <w:r>
              <w:rPr>
                <w:rFonts w:hint="eastAsia" w:ascii="宋体" w:hAnsi="宋体"/>
                <w:color w:val="auto"/>
                <w:sz w:val="21"/>
                <w:szCs w:val="21"/>
                <w:highlight w:val="none"/>
              </w:rPr>
              <w:t>根据投标人修理进度计划及保障措施进行综合评议。</w:t>
            </w:r>
            <w:r>
              <w:rPr>
                <w:rFonts w:hint="eastAsia" w:ascii="宋体" w:hAnsi="宋体"/>
                <w:color w:val="auto"/>
                <w:sz w:val="21"/>
                <w:szCs w:val="21"/>
                <w:highlight w:val="none"/>
                <w:lang w:val="en-US" w:eastAsia="zh-CN"/>
              </w:rPr>
              <w:t>坞内修理周期大于8日历天的。每多1天</w:t>
            </w:r>
            <w:r>
              <w:rPr>
                <w:rFonts w:hint="eastAsia" w:ascii="宋体" w:hAnsi="宋体" w:eastAsia="宋体" w:cs="Times New Roman"/>
                <w:color w:val="auto"/>
                <w:sz w:val="21"/>
                <w:szCs w:val="21"/>
                <w:highlight w:val="none"/>
                <w:lang w:val="en-US" w:eastAsia="zh-CN"/>
              </w:rPr>
              <w:t>得</w:t>
            </w:r>
            <w:r>
              <w:rPr>
                <w:rFonts w:hint="eastAsia" w:ascii="宋体" w:hAnsi="宋体" w:cs="Times New Roman"/>
                <w:color w:val="auto"/>
                <w:sz w:val="21"/>
                <w:szCs w:val="21"/>
                <w:highlight w:val="none"/>
                <w:lang w:val="en-US" w:eastAsia="zh-CN"/>
              </w:rPr>
              <w:t>1</w:t>
            </w:r>
            <w:r>
              <w:rPr>
                <w:rFonts w:hint="eastAsia" w:ascii="宋体" w:hAnsi="宋体" w:eastAsia="宋体" w:cs="Times New Roman"/>
                <w:color w:val="auto"/>
                <w:sz w:val="21"/>
                <w:szCs w:val="21"/>
                <w:highlight w:val="none"/>
                <w:lang w:val="en-US" w:eastAsia="zh-CN"/>
              </w:rPr>
              <w:t>分，最多得</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487" w:type="dxa"/>
            <w:vMerge w:val="continue"/>
            <w:vAlign w:val="center"/>
          </w:tcPr>
          <w:p>
            <w:pPr>
              <w:pageBreakBefore w:val="0"/>
              <w:kinsoku/>
              <w:wordWrap/>
              <w:overflowPunct/>
              <w:topLinePunct w:val="0"/>
              <w:bidi w:val="0"/>
              <w:spacing w:line="360" w:lineRule="auto"/>
              <w:jc w:val="center"/>
              <w:textAlignment w:val="auto"/>
              <w:rPr>
                <w:rFonts w:hint="eastAsia" w:ascii="宋体" w:hAnsi="宋体" w:cs="宋体"/>
                <w:color w:val="auto"/>
                <w:szCs w:val="21"/>
                <w:highlight w:val="none"/>
              </w:rPr>
            </w:pPr>
          </w:p>
        </w:tc>
        <w:tc>
          <w:tcPr>
            <w:tcW w:w="1571"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eastAsia" w:ascii="宋体" w:hAnsi="宋体" w:cs="宋体"/>
                <w:bCs/>
                <w:color w:val="auto"/>
                <w:highlight w:val="none"/>
              </w:rPr>
            </w:pPr>
            <w:r>
              <w:rPr>
                <w:rFonts w:hint="eastAsia" w:ascii="宋体" w:hAnsi="宋体"/>
                <w:color w:val="auto"/>
                <w:sz w:val="21"/>
                <w:szCs w:val="21"/>
                <w:highlight w:val="none"/>
              </w:rPr>
              <w:t>质量保证</w:t>
            </w:r>
            <w:r>
              <w:rPr>
                <w:rFonts w:hint="eastAsia" w:ascii="宋体" w:hAnsi="宋体"/>
                <w:color w:val="auto"/>
                <w:sz w:val="21"/>
                <w:szCs w:val="21"/>
                <w:highlight w:val="none"/>
                <w:lang w:val="en-US" w:eastAsia="zh-CN"/>
              </w:rPr>
              <w:t>及售后服务</w:t>
            </w:r>
          </w:p>
        </w:tc>
        <w:tc>
          <w:tcPr>
            <w:tcW w:w="690" w:type="dxa"/>
            <w:vAlign w:val="center"/>
          </w:tcPr>
          <w:p>
            <w:pPr>
              <w:pageBreakBefore w:val="0"/>
              <w:widowControl/>
              <w:kinsoku/>
              <w:wordWrap/>
              <w:overflowPunct/>
              <w:topLinePunct w:val="0"/>
              <w:bidi w:val="0"/>
              <w:spacing w:line="360" w:lineRule="auto"/>
              <w:ind w:left="0" w:leftChars="0" w:firstLine="0" w:firstLineChars="0"/>
              <w:jc w:val="center"/>
              <w:textAlignment w:val="auto"/>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2分</w:t>
            </w:r>
          </w:p>
        </w:tc>
        <w:tc>
          <w:tcPr>
            <w:tcW w:w="6252" w:type="dxa"/>
            <w:vAlign w:val="center"/>
          </w:tcPr>
          <w:p>
            <w:pPr>
              <w:pageBreakBefore w:val="0"/>
              <w:widowControl/>
              <w:kinsoku/>
              <w:wordWrap/>
              <w:overflowPunct/>
              <w:topLinePunct w:val="0"/>
              <w:bidi w:val="0"/>
              <w:spacing w:line="360" w:lineRule="auto"/>
              <w:ind w:left="0" w:leftChars="0" w:firstLine="0" w:firstLineChars="0"/>
              <w:textAlignment w:val="auto"/>
              <w:rPr>
                <w:rFonts w:hint="eastAsia" w:ascii="宋体" w:hAnsi="宋体" w:cs="宋体"/>
                <w:bCs/>
                <w:color w:val="auto"/>
                <w:szCs w:val="21"/>
                <w:highlight w:val="none"/>
                <w:lang w:bidi="ar"/>
              </w:rPr>
            </w:pPr>
            <w:r>
              <w:rPr>
                <w:rFonts w:hint="eastAsia" w:ascii="宋体" w:hAnsi="宋体"/>
                <w:color w:val="auto"/>
                <w:sz w:val="21"/>
                <w:szCs w:val="21"/>
                <w:highlight w:val="none"/>
              </w:rPr>
              <w:t>根据投标人质量保证承诺及</w:t>
            </w:r>
            <w:r>
              <w:rPr>
                <w:rFonts w:hint="eastAsia" w:ascii="宋体" w:hAnsi="宋体" w:eastAsia="宋体" w:cs="Times New Roman"/>
                <w:color w:val="auto"/>
                <w:sz w:val="21"/>
                <w:szCs w:val="21"/>
                <w:highlight w:val="none"/>
              </w:rPr>
              <w:t>售后服务承诺进行综</w:t>
            </w:r>
            <w:r>
              <w:rPr>
                <w:rFonts w:hint="eastAsia" w:ascii="宋体" w:hAnsi="宋体"/>
                <w:color w:val="auto"/>
                <w:sz w:val="21"/>
                <w:szCs w:val="21"/>
                <w:highlight w:val="none"/>
              </w:rPr>
              <w:t>综合评议。优</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分，一般</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分，差</w:t>
            </w:r>
            <w:r>
              <w:rPr>
                <w:rFonts w:hint="eastAsia" w:ascii="宋体" w:hAnsi="宋体"/>
                <w:color w:val="auto"/>
                <w:sz w:val="21"/>
                <w:szCs w:val="21"/>
                <w:highlight w:val="none"/>
                <w:lang w:val="en-US" w:eastAsia="zh-CN"/>
              </w:rPr>
              <w:t>0</w:t>
            </w:r>
            <w:r>
              <w:rPr>
                <w:rFonts w:hint="eastAsia" w:ascii="宋体" w:hAnsi="宋体"/>
                <w:color w:val="auto"/>
                <w:sz w:val="21"/>
                <w:szCs w:val="21"/>
                <w:highlight w:val="none"/>
              </w:rPr>
              <w:t>分。</w:t>
            </w:r>
          </w:p>
        </w:tc>
      </w:tr>
    </w:tbl>
    <w:p>
      <w:pPr>
        <w:pageBreakBefore w:val="0"/>
        <w:kinsoku/>
        <w:wordWrap/>
        <w:overflowPunct/>
        <w:topLinePunct w:val="0"/>
        <w:bidi w:val="0"/>
        <w:ind w:left="0" w:leftChars="0" w:firstLine="0" w:firstLineChars="0"/>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w:t>
      </w:r>
    </w:p>
    <w:p>
      <w:pPr>
        <w:pageBreakBefore w:val="0"/>
        <w:kinsoku/>
        <w:wordWrap/>
        <w:overflowPunct/>
        <w:topLinePunct w:val="0"/>
        <w:bidi w:val="0"/>
        <w:textAlignment w:val="auto"/>
        <w:rPr>
          <w:rFonts w:hint="default"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上述评分表中“(”不含本数，“[</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eastAsia="zh-CN"/>
        </w:rPr>
        <w:t>“</w:t>
      </w:r>
      <w:r>
        <w:rPr>
          <w:rFonts w:hint="default" w:ascii="Times New Roman" w:hAnsi="Times New Roman" w:cs="Times New Roman"/>
          <w:b/>
          <w:bCs/>
          <w:color w:val="auto"/>
          <w:highlight w:val="none"/>
        </w:rPr>
        <w:t>]”包含本数</w:t>
      </w:r>
      <w:r>
        <w:rPr>
          <w:rFonts w:hint="default" w:ascii="Times New Roman" w:hAnsi="Times New Roman" w:cs="Times New Roman"/>
          <w:b/>
          <w:bCs/>
          <w:color w:val="auto"/>
          <w:highlight w:val="none"/>
          <w:lang w:eastAsia="zh-CN"/>
        </w:rPr>
        <w:t>。</w:t>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2、</w:t>
      </w:r>
      <w:r>
        <w:rPr>
          <w:rFonts w:hint="default" w:ascii="Times New Roman" w:hAnsi="Times New Roman" w:cs="Times New Roman"/>
          <w:b/>
          <w:bCs/>
          <w:color w:val="auto"/>
          <w:highlight w:val="none"/>
        </w:rPr>
        <w:t>投标人在投标文件目录前增加索引页，针对评标办法中的每一个评分项目，注明投标文件内相应的页码，以方便检索。</w:t>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br w:type="page"/>
      </w:r>
    </w:p>
    <w:p>
      <w:pPr>
        <w:keepNext w:val="0"/>
        <w:keepLines w:val="0"/>
        <w:pageBreakBefore w:val="0"/>
        <w:widowControl w:val="0"/>
        <w:kinsoku/>
        <w:wordWrap/>
        <w:overflowPunct/>
        <w:topLinePunct w:val="0"/>
        <w:autoSpaceDE/>
        <w:autoSpaceDN/>
        <w:bidi w:val="0"/>
        <w:adjustRightInd/>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附表1：</w:t>
      </w:r>
    </w:p>
    <w:p>
      <w:pPr>
        <w:pStyle w:val="3"/>
        <w:keepNext w:val="0"/>
        <w:keepLines w:val="0"/>
        <w:pageBreakBefore w:val="0"/>
        <w:widowControl w:val="0"/>
        <w:kinsoku/>
        <w:wordWrap/>
        <w:overflowPunct/>
        <w:topLinePunct w:val="0"/>
        <w:autoSpaceDE/>
        <w:autoSpaceDN/>
        <w:bidi w:val="0"/>
        <w:adjustRightInd/>
        <w:textAlignment w:val="auto"/>
        <w:rPr>
          <w:rFonts w:hint="eastAsia" w:ascii="Times New Roman" w:hAnsi="Times New Roman" w:eastAsia="宋体" w:cs="Times New Roman"/>
          <w:b/>
          <w:bCs w:val="0"/>
          <w:color w:val="auto"/>
          <w:kern w:val="2"/>
          <w:sz w:val="24"/>
          <w:szCs w:val="21"/>
          <w:highlight w:val="none"/>
          <w:lang w:val="en-US" w:eastAsia="zh-CN" w:bidi="ar-SA"/>
        </w:rPr>
      </w:pPr>
    </w:p>
    <w:p>
      <w:pPr>
        <w:pStyle w:val="3"/>
        <w:keepNext w:val="0"/>
        <w:keepLines w:val="0"/>
        <w:pageBreakBefore w:val="0"/>
        <w:widowControl w:val="0"/>
        <w:kinsoku/>
        <w:wordWrap/>
        <w:overflowPunct/>
        <w:topLinePunct w:val="0"/>
        <w:autoSpaceDE/>
        <w:autoSpaceDN/>
        <w:bidi w:val="0"/>
        <w:adjustRightInd/>
        <w:jc w:val="center"/>
        <w:textAlignment w:val="auto"/>
        <w:rPr>
          <w:rFonts w:hint="default" w:ascii="Times New Roman" w:hAnsi="Times New Roman" w:eastAsia="宋体" w:cs="Times New Roman"/>
          <w:b/>
          <w:bCs w:val="0"/>
          <w:color w:val="auto"/>
          <w:kern w:val="2"/>
          <w:sz w:val="24"/>
          <w:szCs w:val="21"/>
          <w:highlight w:val="none"/>
          <w:lang w:val="en-US" w:eastAsia="zh-CN" w:bidi="ar-SA"/>
        </w:rPr>
      </w:pPr>
      <w:r>
        <w:rPr>
          <w:rFonts w:hint="eastAsia" w:ascii="Times New Roman" w:hAnsi="Times New Roman" w:eastAsia="宋体" w:cs="Times New Roman"/>
          <w:b/>
          <w:bCs w:val="0"/>
          <w:color w:val="auto"/>
          <w:kern w:val="2"/>
          <w:sz w:val="24"/>
          <w:szCs w:val="21"/>
          <w:highlight w:val="none"/>
          <w:lang w:val="en-US" w:eastAsia="zh-CN" w:bidi="ar-SA"/>
        </w:rPr>
        <w:t>资格后审表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3"/>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62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c>
          <w:tcPr>
            <w:tcW w:w="13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62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jc w:val="left"/>
              <w:textAlignment w:val="auto"/>
              <w:rPr>
                <w:rFonts w:hint="eastAsia" w:cs="Times New Roman"/>
                <w:color w:val="auto"/>
                <w:highlight w:val="none"/>
                <w:lang w:val="en-US" w:eastAsia="zh-CN"/>
              </w:rPr>
            </w:pPr>
            <w:r>
              <w:rPr>
                <w:rFonts w:hint="eastAsia" w:cs="Times New Roman"/>
                <w:color w:val="auto"/>
                <w:highlight w:val="none"/>
                <w:lang w:val="en-US" w:eastAsia="zh-CN"/>
              </w:rPr>
              <w:t>1</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rPr>
              <w:t>投标人必须为</w:t>
            </w:r>
            <w:r>
              <w:rPr>
                <w:rFonts w:hint="eastAsia"/>
                <w:color w:val="auto"/>
                <w:highlight w:val="none"/>
              </w:rPr>
              <w:t>具有独立承担民事责任能力</w:t>
            </w:r>
            <w:r>
              <w:rPr>
                <w:rFonts w:hint="eastAsia"/>
                <w:color w:val="auto"/>
                <w:highlight w:val="none"/>
                <w:lang w:eastAsia="zh-CN"/>
              </w:rPr>
              <w:t>（</w:t>
            </w:r>
            <w:r>
              <w:rPr>
                <w:rFonts w:hint="eastAsia"/>
                <w:color w:val="auto"/>
                <w:highlight w:val="none"/>
                <w:lang w:val="en-US" w:eastAsia="zh-CN"/>
              </w:rPr>
              <w:t>或独立法人</w:t>
            </w:r>
            <w:r>
              <w:rPr>
                <w:rFonts w:hint="eastAsia"/>
                <w:color w:val="auto"/>
                <w:highlight w:val="none"/>
                <w:lang w:eastAsia="zh-CN"/>
              </w:rPr>
              <w:t>）</w:t>
            </w:r>
            <w:r>
              <w:rPr>
                <w:rFonts w:hint="eastAsia" w:cs="Times New Roman"/>
                <w:color w:val="auto"/>
                <w:highlight w:val="none"/>
                <w:lang w:val="en-US" w:eastAsia="zh-CN"/>
              </w:rPr>
              <w:t>，</w:t>
            </w:r>
            <w:r>
              <w:rPr>
                <w:rFonts w:hint="eastAsia" w:ascii="Times New Roman" w:hAnsi="Times New Roman" w:cs="Times New Roman"/>
                <w:color w:val="auto"/>
                <w:highlight w:val="none"/>
                <w:lang w:val="en-US" w:eastAsia="zh-CN"/>
              </w:rPr>
              <w:t>提供有效的营业执照扫描件加盖公章</w:t>
            </w:r>
            <w:r>
              <w:rPr>
                <w:rFonts w:hint="eastAsia" w:cs="Times New Roman"/>
                <w:color w:val="auto"/>
                <w:highlight w:val="none"/>
                <w:lang w:val="en-US"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kern w:val="58"/>
                <w:sz w:val="21"/>
                <w:szCs w:val="21"/>
                <w:highlight w:val="none"/>
              </w:rPr>
            </w:pPr>
            <w:r>
              <w:rPr>
                <w:rFonts w:hint="eastAsia" w:cs="Times New Roman"/>
                <w:color w:val="auto"/>
                <w:highlight w:val="none"/>
                <w:lang w:val="en-US" w:eastAsia="zh-CN"/>
              </w:rPr>
              <w:t>2.</w:t>
            </w:r>
            <w:r>
              <w:rPr>
                <w:rFonts w:hint="default" w:cs="Times New Roman"/>
                <w:color w:val="auto"/>
                <w:highlight w:val="none"/>
                <w:lang w:val="en-US" w:eastAsia="zh-CN"/>
              </w:rPr>
              <w:t>投标人不得为失信被执行人，</w:t>
            </w:r>
            <w:r>
              <w:rPr>
                <w:rFonts w:hint="eastAsia" w:cs="Times New Roman"/>
                <w:color w:val="auto"/>
                <w:highlight w:val="none"/>
                <w:lang w:val="en-US" w:eastAsia="zh-CN"/>
              </w:rPr>
              <w:t>需提供信用中国查询截图，或由</w:t>
            </w:r>
            <w:r>
              <w:rPr>
                <w:rFonts w:hint="default" w:cs="Times New Roman"/>
                <w:color w:val="auto"/>
                <w:highlight w:val="none"/>
                <w:lang w:val="en-US" w:eastAsia="zh-CN"/>
              </w:rPr>
              <w:t>招标人对投标人失信信息进行查询（具体以评标当天“信用中国”网站www.creditchina.gov.cn查询为准）。</w:t>
            </w:r>
          </w:p>
          <w:p>
            <w:pPr>
              <w:keepNext w:val="0"/>
              <w:keepLines w:val="0"/>
              <w:pageBreakBefore w:val="0"/>
              <w:widowControl w:val="0"/>
              <w:kinsoku/>
              <w:wordWrap/>
              <w:overflowPunct/>
              <w:topLinePunct w:val="0"/>
              <w:autoSpaceDE/>
              <w:autoSpaceDN/>
              <w:bidi w:val="0"/>
              <w:adjustRightInd/>
              <w:ind w:left="0" w:leftChars="0" w:firstLine="420" w:firstLineChars="200"/>
              <w:jc w:val="left"/>
              <w:textAlignment w:val="auto"/>
              <w:rPr>
                <w:rFonts w:hint="default"/>
                <w:color w:val="auto"/>
                <w:highlight w:val="none"/>
              </w:rPr>
            </w:pPr>
            <w:r>
              <w:rPr>
                <w:rFonts w:hint="eastAsia" w:cs="Times New Roman"/>
                <w:color w:val="auto"/>
                <w:highlight w:val="none"/>
                <w:lang w:val="en-US" w:eastAsia="zh-CN"/>
              </w:rPr>
              <w:t>3.</w:t>
            </w:r>
            <w:r>
              <w:rPr>
                <w:rFonts w:hint="default"/>
                <w:color w:val="auto"/>
                <w:highlight w:val="none"/>
              </w:rPr>
              <w:t>单位负责人为同一人或者存在控股</w:t>
            </w:r>
            <w:r>
              <w:rPr>
                <w:rFonts w:hint="eastAsia"/>
                <w:color w:val="auto"/>
                <w:highlight w:val="none"/>
                <w:lang w:eastAsia="zh-CN"/>
              </w:rPr>
              <w:t>、</w:t>
            </w:r>
            <w:r>
              <w:rPr>
                <w:rFonts w:hint="default"/>
                <w:color w:val="auto"/>
                <w:highlight w:val="none"/>
              </w:rPr>
              <w:t>管理关系的不同单位，不得参加同一标段投标或者未划分标段的同一招标项目投标。</w:t>
            </w:r>
          </w:p>
          <w:p>
            <w:pPr>
              <w:keepNext w:val="0"/>
              <w:keepLines w:val="0"/>
              <w:pageBreakBefore w:val="0"/>
              <w:widowControl w:val="0"/>
              <w:kinsoku/>
              <w:wordWrap/>
              <w:overflowPunct/>
              <w:topLinePunct w:val="0"/>
              <w:autoSpaceDE/>
              <w:autoSpaceDN/>
              <w:bidi w:val="0"/>
              <w:adjustRightInd/>
              <w:jc w:val="left"/>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4</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rPr>
              <w:t>本项目不允许联合体投标，不允许转包。</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cs="Times New Roman"/>
                <w:color w:val="auto"/>
                <w:highlight w:val="none"/>
                <w:lang w:val="en-US" w:eastAsia="zh-CN"/>
              </w:rPr>
              <w:t>5.投标人需提供2022年1月1日（以合同签订日期为准）以后至少三个类似服务项目业绩证明（合同金额30万及以上，需提供合同复印件并加盖公章）。</w:t>
            </w:r>
          </w:p>
        </w:tc>
        <w:tc>
          <w:tcPr>
            <w:tcW w:w="135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附表2：</w:t>
      </w:r>
    </w:p>
    <w:p>
      <w:pPr>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Times New Roman" w:hAnsi="Times New Roman" w:eastAsia="宋体" w:cs="Times New Roman"/>
          <w:b/>
          <w:bCs w:val="0"/>
          <w:color w:val="auto"/>
          <w:kern w:val="2"/>
          <w:sz w:val="24"/>
          <w:szCs w:val="21"/>
          <w:highlight w:val="none"/>
          <w:lang w:val="en-US" w:eastAsia="zh-CN" w:bidi="ar-SA"/>
        </w:rPr>
      </w:pPr>
      <w:r>
        <w:rPr>
          <w:rFonts w:hint="eastAsia" w:ascii="Times New Roman" w:hAnsi="Times New Roman" w:eastAsia="宋体" w:cs="Times New Roman"/>
          <w:b/>
          <w:bCs w:val="0"/>
          <w:color w:val="auto"/>
          <w:kern w:val="2"/>
          <w:sz w:val="24"/>
          <w:szCs w:val="21"/>
          <w:highlight w:val="none"/>
          <w:lang w:val="en-US" w:eastAsia="zh-CN" w:bidi="ar-SA"/>
        </w:rPr>
        <w:t>重大偏差项目表</w:t>
      </w:r>
    </w:p>
    <w:tbl>
      <w:tblPr>
        <w:tblStyle w:val="16"/>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5729"/>
        <w:gridCol w:w="2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项目内容</w:t>
            </w:r>
          </w:p>
        </w:tc>
        <w:tc>
          <w:tcPr>
            <w:tcW w:w="286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投标文件无法定代表人签字（或盖章），或未提供法定代表人授权委托书、投标声明书或者填写项目不齐全的</w:t>
            </w:r>
          </w:p>
        </w:tc>
        <w:tc>
          <w:tcPr>
            <w:tcW w:w="2863"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作为无效标处理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投标代表人未能出具身份证明或与法定代表人授权委托人身份不符的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投标文件格式不规范、项目不齐全或者内容虚假的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投标人递交两份或多份内容不同的投标文件，或在一份投标文件中对同一招标项目报有两个或多个报价，且未声明哪一个为最终报价的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投标人名称或组织结构与投标报名时不一致且未提供有效证明的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未按招标文件要求提交投标保证金的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投标文件的组成严重不全</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投标有效期不满足招标文件要求的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未实质性响应招标文件要求或者投标文件有招标人不能接受的附加条件或招标文件规定的其他投标无效情形</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不同投标人的投标文件出自同一终端设备或在相同Internet主机分配地址（相同IP地址）网上报名投标的</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94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572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投标报价超过招标控制价</w:t>
            </w:r>
          </w:p>
        </w:tc>
        <w:tc>
          <w:tcPr>
            <w:tcW w:w="2863"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pPr>
        <w:rPr>
          <w:rFonts w:hint="default" w:ascii="Times New Roman" w:hAnsi="Times New Roman" w:eastAsia="宋体" w:cs="Times New Roman"/>
          <w:b/>
          <w:bCs/>
          <w:color w:val="auto"/>
          <w:kern w:val="44"/>
          <w:sz w:val="30"/>
          <w:szCs w:val="44"/>
          <w:highlight w:val="none"/>
          <w:lang w:val="en-US" w:eastAsia="zh-CN" w:bidi="ar-SA"/>
        </w:rPr>
      </w:pPr>
      <w:bookmarkStart w:id="41" w:name="_Toc27622"/>
      <w:r>
        <w:rPr>
          <w:rFonts w:hint="default" w:ascii="Times New Roman" w:hAnsi="Times New Roman" w:eastAsia="宋体" w:cs="Times New Roman"/>
          <w:b/>
          <w:bCs/>
          <w:color w:val="auto"/>
          <w:kern w:val="44"/>
          <w:sz w:val="30"/>
          <w:szCs w:val="44"/>
          <w:highlight w:val="none"/>
          <w:lang w:val="en-US" w:eastAsia="zh-CN" w:bidi="ar-SA"/>
        </w:rPr>
        <w:br w:type="page"/>
      </w:r>
    </w:p>
    <w:p>
      <w:pPr>
        <w:pStyle w:val="3"/>
        <w:keepNext w:val="0"/>
        <w:keepLines w:val="0"/>
        <w:pageBreakBefore w:val="0"/>
        <w:widowControl w:val="0"/>
        <w:numPr>
          <w:ilvl w:val="0"/>
          <w:numId w:val="0"/>
        </w:numPr>
        <w:kinsoku/>
        <w:wordWrap/>
        <w:overflowPunct/>
        <w:topLinePunct w:val="0"/>
        <w:autoSpaceDE/>
        <w:autoSpaceDN/>
        <w:bidi w:val="0"/>
        <w:adjustRightInd/>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第</w:t>
      </w:r>
      <w:r>
        <w:rPr>
          <w:rFonts w:hint="eastAsia" w:cs="Times New Roman"/>
          <w:color w:val="auto"/>
          <w:highlight w:val="none"/>
          <w:lang w:val="en-US" w:eastAsia="zh-CN"/>
        </w:rPr>
        <w:t>五</w:t>
      </w:r>
      <w:r>
        <w:rPr>
          <w:rFonts w:hint="default" w:ascii="Times New Roman" w:hAnsi="Times New Roman" w:cs="Times New Roman"/>
          <w:color w:val="auto"/>
          <w:highlight w:val="none"/>
        </w:rPr>
        <w:t xml:space="preserve">章  </w:t>
      </w:r>
      <w:r>
        <w:rPr>
          <w:rFonts w:hint="default" w:ascii="Times New Roman" w:hAnsi="Times New Roman" w:eastAsia="宋体" w:cs="Times New Roman"/>
          <w:b/>
          <w:bCs/>
          <w:color w:val="auto"/>
          <w:kern w:val="44"/>
          <w:sz w:val="30"/>
          <w:szCs w:val="44"/>
          <w:highlight w:val="none"/>
          <w:lang w:val="en-US" w:eastAsia="zh-CN" w:bidi="ar-SA"/>
        </w:rPr>
        <w:t>合同</w:t>
      </w:r>
      <w:r>
        <w:rPr>
          <w:rFonts w:hint="eastAsia" w:ascii="Times New Roman" w:hAnsi="Times New Roman" w:eastAsia="宋体" w:cs="Times New Roman"/>
          <w:b/>
          <w:bCs/>
          <w:color w:val="auto"/>
          <w:kern w:val="44"/>
          <w:sz w:val="30"/>
          <w:szCs w:val="44"/>
          <w:highlight w:val="none"/>
          <w:lang w:val="en-US" w:eastAsia="zh-CN" w:bidi="ar-SA"/>
        </w:rPr>
        <w:t>主要</w:t>
      </w:r>
      <w:r>
        <w:rPr>
          <w:rFonts w:hint="default" w:ascii="Times New Roman" w:hAnsi="Times New Roman" w:eastAsia="宋体" w:cs="Times New Roman"/>
          <w:b/>
          <w:bCs/>
          <w:color w:val="auto"/>
          <w:kern w:val="44"/>
          <w:sz w:val="30"/>
          <w:szCs w:val="44"/>
          <w:highlight w:val="none"/>
          <w:lang w:val="en-US" w:eastAsia="zh-CN" w:bidi="ar-SA"/>
        </w:rPr>
        <w:t>条款</w:t>
      </w:r>
      <w:bookmarkEnd w:id="41"/>
    </w:p>
    <w:p>
      <w:pPr>
        <w:snapToGrid w:val="0"/>
        <w:spacing w:line="240" w:lineRule="auto"/>
        <w:jc w:val="center"/>
        <w:rPr>
          <w:rFonts w:ascii="宋体"/>
          <w:b/>
          <w:bCs/>
          <w:color w:val="auto"/>
          <w:sz w:val="36"/>
          <w:szCs w:val="36"/>
          <w:highlight w:val="none"/>
        </w:rPr>
      </w:pPr>
      <w:r>
        <w:rPr>
          <w:rFonts w:hint="eastAsia" w:ascii="宋体" w:hAnsi="宋体" w:cs="宋体"/>
          <w:b/>
          <w:bCs/>
          <w:color w:val="auto"/>
          <w:sz w:val="36"/>
          <w:szCs w:val="36"/>
          <w:highlight w:val="none"/>
        </w:rPr>
        <w:t>202</w:t>
      </w:r>
      <w:r>
        <w:rPr>
          <w:rFonts w:hint="eastAsia" w:ascii="宋体" w:hAnsi="宋体" w:cs="宋体"/>
          <w:b/>
          <w:bCs/>
          <w:color w:val="auto"/>
          <w:sz w:val="36"/>
          <w:szCs w:val="36"/>
          <w:highlight w:val="none"/>
          <w:lang w:val="en-US" w:eastAsia="zh-CN"/>
        </w:rPr>
        <w:t>6</w:t>
      </w:r>
      <w:r>
        <w:rPr>
          <w:rFonts w:hint="eastAsia" w:ascii="宋体" w:hAnsi="宋体" w:cs="宋体"/>
          <w:b/>
          <w:bCs/>
          <w:color w:val="auto"/>
          <w:sz w:val="36"/>
          <w:szCs w:val="36"/>
          <w:highlight w:val="none"/>
        </w:rPr>
        <w:t>年度</w:t>
      </w:r>
      <w:r>
        <w:rPr>
          <w:rFonts w:hint="eastAsia" w:ascii="宋体" w:cs="宋体"/>
          <w:b/>
          <w:bCs/>
          <w:color w:val="auto"/>
          <w:sz w:val="36"/>
          <w:szCs w:val="36"/>
          <w:highlight w:val="none"/>
        </w:rPr>
        <w:t>“</w:t>
      </w:r>
      <w:r>
        <w:rPr>
          <w:rFonts w:hint="eastAsia" w:ascii="宋体" w:cs="宋体"/>
          <w:b/>
          <w:bCs/>
          <w:color w:val="auto"/>
          <w:sz w:val="36"/>
          <w:szCs w:val="36"/>
          <w:highlight w:val="none"/>
          <w:lang w:val="en-US" w:eastAsia="zh-CN"/>
        </w:rPr>
        <w:t>甬港拖33</w:t>
      </w:r>
      <w:r>
        <w:rPr>
          <w:rFonts w:hint="eastAsia" w:ascii="宋体" w:cs="宋体"/>
          <w:b/>
          <w:bCs/>
          <w:color w:val="auto"/>
          <w:sz w:val="36"/>
          <w:szCs w:val="36"/>
          <w:highlight w:val="none"/>
        </w:rPr>
        <w:t>”</w:t>
      </w:r>
      <w:r>
        <w:rPr>
          <w:rFonts w:hint="eastAsia" w:ascii="宋体" w:hAnsi="宋体" w:cs="宋体"/>
          <w:b/>
          <w:bCs/>
          <w:color w:val="auto"/>
          <w:sz w:val="36"/>
          <w:szCs w:val="36"/>
          <w:highlight w:val="none"/>
        </w:rPr>
        <w:t>轮修船合同</w:t>
      </w:r>
    </w:p>
    <w:p>
      <w:pPr>
        <w:wordWrap w:val="0"/>
        <w:spacing w:line="360" w:lineRule="auto"/>
        <w:ind w:right="1440" w:firstLine="3255" w:firstLineChars="1550"/>
        <w:rPr>
          <w:rFonts w:hint="eastAsia" w:hAnsi="宋体" w:eastAsia="宋体" w:cs="宋体"/>
          <w:color w:val="auto"/>
          <w:highlight w:val="none"/>
        </w:rPr>
      </w:pPr>
      <w:r>
        <w:rPr>
          <w:rFonts w:hint="eastAsia" w:hAnsi="宋体" w:cs="宋体"/>
          <w:color w:val="auto"/>
          <w:highlight w:val="none"/>
        </w:rPr>
        <w:t>合同编号：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甲方：宁波油港轮驳有限公司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住所地：宁波市镇海区沿江东路</w:t>
      </w:r>
      <w:r>
        <w:rPr>
          <w:rFonts w:ascii="宋体" w:hAnsi="宋体" w:cs="宋体"/>
          <w:color w:val="auto"/>
          <w:sz w:val="24"/>
          <w:szCs w:val="24"/>
          <w:highlight w:val="none"/>
        </w:rPr>
        <w:t>173</w:t>
      </w:r>
      <w:r>
        <w:rPr>
          <w:rFonts w:hint="eastAsia" w:ascii="宋体" w:hAnsi="宋体" w:cs="宋体"/>
          <w:color w:val="auto"/>
          <w:sz w:val="24"/>
          <w:szCs w:val="24"/>
          <w:highlight w:val="none"/>
        </w:rPr>
        <w:t>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电话：  </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乙方：</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住所地：</w:t>
      </w:r>
    </w:p>
    <w:p>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联系人：</w:t>
      </w:r>
      <w:r>
        <w:rPr>
          <w:rFonts w:hint="eastAsia" w:ascii="宋体" w:hAnsi="宋体"/>
          <w:color w:val="auto"/>
          <w:sz w:val="24"/>
          <w:highlight w:val="none"/>
          <w:lang w:val="en-US" w:eastAsia="zh-CN"/>
        </w:rPr>
        <w:t xml:space="preserve">             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经甲乙双方协商，甲方将</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w:t>
      </w:r>
      <w:r>
        <w:rPr>
          <w:rFonts w:hint="eastAsia" w:ascii="宋体" w:hAnsi="宋体" w:cs="宋体"/>
          <w:color w:val="auto"/>
          <w:sz w:val="24"/>
          <w:szCs w:val="24"/>
          <w:highlight w:val="none"/>
          <w:lang w:val="en-US" w:eastAsia="zh-CN"/>
        </w:rPr>
        <w:t>修船</w:t>
      </w:r>
      <w:r>
        <w:rPr>
          <w:rFonts w:hint="eastAsia" w:ascii="宋体" w:hAnsi="宋体" w:cs="宋体"/>
          <w:color w:val="auto"/>
          <w:sz w:val="24"/>
          <w:szCs w:val="24"/>
          <w:highlight w:val="none"/>
        </w:rPr>
        <w:t>业务承包给乙方，为了明确双方的权利义务关系，特订立本合同：</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第一条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工程范围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正账工程：按甲方</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月提供的《船舶修理工程单》，由乙方提交经甲方最终确认的《“</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”轮修理工程报价单》（即</w:t>
      </w:r>
      <w:r>
        <w:rPr>
          <w:rFonts w:hint="eastAsia" w:ascii="宋体" w:hAnsi="宋体" w:cs="宋体"/>
          <w:color w:val="auto"/>
          <w:sz w:val="24"/>
          <w:szCs w:val="24"/>
          <w:highlight w:val="none"/>
          <w:lang w:val="en-US" w:eastAsia="zh-CN"/>
        </w:rPr>
        <w:t>附件</w:t>
      </w:r>
      <w:r>
        <w:rPr>
          <w:rFonts w:hint="eastAsia" w:ascii="宋体" w:hAnsi="宋体" w:cs="宋体"/>
          <w:color w:val="auto"/>
          <w:sz w:val="24"/>
          <w:szCs w:val="24"/>
          <w:highlight w:val="none"/>
          <w:lang w:val="en-US"/>
        </w:rPr>
        <w:t>4</w:t>
      </w:r>
      <w:r>
        <w:rPr>
          <w:rFonts w:hint="eastAsia" w:ascii="宋体" w:hAnsi="宋体" w:cs="宋体"/>
          <w:color w:val="auto"/>
          <w:sz w:val="24"/>
          <w:szCs w:val="24"/>
          <w:highlight w:val="none"/>
        </w:rPr>
        <w:t>）后照单施工，包括完成该工程相关的辅助工程（报价单中另计的除外）。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加账工程：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正账工程之外的增加工程，必须在修理周期内的前二分之一时间里以书面形式告知甲方，增加范围一般不超过整个工程量的</w:t>
      </w:r>
      <w:r>
        <w:rPr>
          <w:rFonts w:ascii="宋体" w:hAnsi="宋体" w:cs="宋体"/>
          <w:color w:val="auto"/>
          <w:sz w:val="24"/>
          <w:szCs w:val="24"/>
          <w:highlight w:val="none"/>
        </w:rPr>
        <w:t>10%</w:t>
      </w:r>
      <w:r>
        <w:rPr>
          <w:rFonts w:hint="eastAsia" w:ascii="宋体" w:hAnsi="宋体" w:cs="宋体"/>
          <w:color w:val="auto"/>
          <w:sz w:val="24"/>
          <w:szCs w:val="24"/>
          <w:highlight w:val="none"/>
        </w:rPr>
        <w:t>；施工前须经双方合同经办人协商后书面确认并参照甲方指定的第三方</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“公估公司”的审核价格结算</w:t>
      </w:r>
      <w:r>
        <w:rPr>
          <w:rFonts w:hint="eastAsia" w:ascii="宋体" w:hAnsi="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减账工程：</w:t>
      </w:r>
      <w:r>
        <w:rPr>
          <w:rFonts w:hint="eastAsia" w:ascii="宋体" w:hAnsi="宋体" w:cs="宋体"/>
          <w:color w:val="auto"/>
          <w:sz w:val="24"/>
          <w:highlight w:val="none"/>
        </w:rPr>
        <w:t>参照甲方指定的第三方“公估公司”的审核价格进行减账。</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第二条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工程价格</w:t>
      </w:r>
    </w:p>
    <w:p>
      <w:pPr>
        <w:keepNext w:val="0"/>
        <w:keepLines w:val="0"/>
        <w:pageBreakBefore w:val="0"/>
        <w:widowControl w:val="0"/>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2026年度</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w:t>
      </w:r>
      <w:r>
        <w:rPr>
          <w:rFonts w:hint="eastAsia" w:ascii="宋体" w:hAnsi="宋体" w:cs="宋体"/>
          <w:color w:val="auto"/>
          <w:sz w:val="24"/>
          <w:szCs w:val="24"/>
          <w:highlight w:val="none"/>
          <w:lang w:val="en-US" w:eastAsia="zh-CN"/>
        </w:rPr>
        <w:t>修船</w:t>
      </w:r>
      <w:r>
        <w:rPr>
          <w:rFonts w:hint="eastAsia" w:ascii="宋体" w:hAnsi="宋体" w:cs="宋体"/>
          <w:color w:val="auto"/>
          <w:sz w:val="24"/>
          <w:szCs w:val="24"/>
          <w:highlight w:val="none"/>
        </w:rPr>
        <w:t>合同总价为含税价</w:t>
      </w:r>
      <w:r>
        <w:rPr>
          <w:rFonts w:hint="eastAsia" w:ascii="宋体" w:hAnsi="宋体" w:cs="宋体"/>
          <w:color w:val="auto"/>
          <w:sz w:val="24"/>
          <w:szCs w:val="24"/>
          <w:highlight w:val="none"/>
          <w:lang w:val="en-US" w:eastAsia="zh-CN"/>
        </w:rPr>
        <w:t xml:space="preserve">     元</w:t>
      </w:r>
      <w:r>
        <w:rPr>
          <w:rFonts w:hint="eastAsia" w:ascii="宋体" w:hAnsi="宋体" w:cs="宋体"/>
          <w:color w:val="auto"/>
          <w:sz w:val="24"/>
          <w:szCs w:val="24"/>
          <w:highlight w:val="none"/>
        </w:rPr>
        <w:t>整(人民币</w:t>
      </w:r>
      <w:r>
        <w:rPr>
          <w:rFonts w:hint="eastAsia" w:ascii="宋体" w:hAnsi="宋体" w:cs="宋体"/>
          <w:color w:val="auto"/>
          <w:sz w:val="24"/>
          <w:szCs w:val="24"/>
          <w:highlight w:val="none"/>
          <w:lang w:val="en-US" w:eastAsia="zh-CN"/>
        </w:rPr>
        <w:t xml:space="preserve">     元整</w:t>
      </w:r>
      <w:r>
        <w:rPr>
          <w:rFonts w:hint="eastAsia" w:ascii="宋体" w:hAnsi="宋体" w:cs="宋体"/>
          <w:color w:val="auto"/>
          <w:sz w:val="24"/>
          <w:szCs w:val="24"/>
          <w:highlight w:val="none"/>
        </w:rPr>
        <w:t>)，含增值税13%，不含税金额为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元，增值税为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元。待修船完工后按合同第一条中的加减账工程由甲乙双方予以结算，多退少补。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船舶离厂一周后双方应就加账工程、减账项目项目达成一致。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超期或提前以合同约定的修船期限计算所有服务费用, 超期或提前部分不另计服务费用。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4.驻坞时间</w:t>
      </w:r>
      <w:r>
        <w:rPr>
          <w:rFonts w:hint="eastAsia" w:ascii="宋体" w:hAnsi="宋体" w:cs="宋体"/>
          <w:color w:val="auto"/>
          <w:sz w:val="24"/>
          <w:szCs w:val="24"/>
          <w:highlight w:val="none"/>
        </w:rPr>
        <w:t>超期或提前</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以合同约定的期限计算所有服务费用, 超期或提前部分不另计服务费用。</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第三条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工程周期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修理周期</w:t>
      </w:r>
      <w:r>
        <w:rPr>
          <w:rFonts w:hint="eastAsia" w:ascii="宋体" w:hAnsi="宋体" w:cs="宋体"/>
          <w:color w:val="auto"/>
          <w:sz w:val="24"/>
          <w:szCs w:val="24"/>
          <w:highlight w:val="none"/>
          <w:lang w:val="en-US" w:eastAsia="zh-CN"/>
        </w:rPr>
        <w:t xml:space="preserve">     自然日</w:t>
      </w:r>
      <w:r>
        <w:rPr>
          <w:rFonts w:hint="eastAsia" w:ascii="宋体" w:hAnsi="宋体" w:cs="宋体"/>
          <w:color w:val="auto"/>
          <w:sz w:val="24"/>
          <w:szCs w:val="24"/>
          <w:highlight w:val="none"/>
        </w:rPr>
        <w:t>，自船舶到厂后的第二天起算。“</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”轮预计于</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到厂，</w:t>
      </w: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月完工交船。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修期内如由于工程扩大或遇到不可抗力（如：台风、连续雨雪天气、地震等）因素，以及双方确认的其他不可抗力事件影响施工的，则由双方协商解决，或另订补充协议以适当延长周期，或解除合同。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修期内如由于</w:t>
      </w:r>
      <w:r>
        <w:rPr>
          <w:rFonts w:hint="eastAsia" w:ascii="宋体" w:hAnsi="宋体" w:cs="宋体"/>
          <w:color w:val="auto"/>
          <w:sz w:val="24"/>
          <w:szCs w:val="24"/>
          <w:highlight w:val="none"/>
          <w:lang w:val="en-US" w:eastAsia="zh-CN"/>
        </w:rPr>
        <w:t>甲方原因导致的工程延期，超期费用按中标单价另行结算。</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第四条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材料供应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试车、试航所需的燃、润料由甲方提供。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修理中除《船舶修理工程单》中注明由甲方提供的备件外，其余材料由乙方提供。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3.废旧物资有使用价值的如：缆绳、电缆、螺旋桨、不锈钢衬套、废滑油、主辅机重要配件等由</w:t>
      </w:r>
      <w:r>
        <w:rPr>
          <w:rFonts w:hint="eastAsia" w:ascii="宋体" w:hAnsi="宋体" w:cs="宋体"/>
          <w:color w:val="auto"/>
          <w:sz w:val="24"/>
          <w:szCs w:val="24"/>
          <w:highlight w:val="none"/>
          <w:lang w:val="en-US"/>
        </w:rPr>
        <w:t>甲</w:t>
      </w:r>
      <w:r>
        <w:rPr>
          <w:rFonts w:hint="eastAsia" w:ascii="宋体" w:hAnsi="宋体" w:cs="宋体"/>
          <w:color w:val="auto"/>
          <w:sz w:val="24"/>
          <w:szCs w:val="24"/>
          <w:highlight w:val="none"/>
          <w:lang w:val="en-US" w:eastAsia="zh-CN"/>
        </w:rPr>
        <w:t>方回收。无使用价值的如：废旧钢板、损坏的灯泡、空油漆桶等，由</w:t>
      </w:r>
      <w:r>
        <w:rPr>
          <w:rFonts w:hint="eastAsia" w:ascii="宋体" w:hAnsi="宋体" w:cs="宋体"/>
          <w:color w:val="auto"/>
          <w:sz w:val="24"/>
          <w:szCs w:val="24"/>
          <w:highlight w:val="none"/>
          <w:lang w:val="en-US"/>
        </w:rPr>
        <w:t>乙方</w:t>
      </w:r>
      <w:r>
        <w:rPr>
          <w:rFonts w:hint="eastAsia" w:ascii="宋体" w:hAnsi="宋体" w:cs="宋体"/>
          <w:color w:val="auto"/>
          <w:sz w:val="24"/>
          <w:szCs w:val="24"/>
          <w:highlight w:val="none"/>
          <w:lang w:val="en-US" w:eastAsia="zh-CN"/>
        </w:rPr>
        <w:t>负责回收。</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第五条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工程验收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船舶检验和入级要求的项目，由甲方提出申请，乙方应予以配合，并根据甲方提供的修理项目单和书面要求、验船机构的检验要求负责施工。项目完工后由双方代表会同船检部门验船师按海上运营规范要求进行验收。验收不合格的乙方应及时进行整改返修，由此产生的一切费用由乙方承担，由此延误的工期不予顺延。如果再次验收仍不合格，甲方有权单方解除合同，并追究乙方的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单项工程完工后由甲方指派代表按ＣＢ标准和交通部有关技术标准进行验收，验收不合格的，乙方应按要求做好整改返修，由此产生的一切费用由乙方承担，由此延误的工期不予顺延。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有工程项目的质量由甲方检验认可，并报船检机构检验合格。全部工程结束之后由双方代表签署《船舶修理工程结算单》作为交船的依据。如有需要，乙方在交船后三天内向甲方提交《船舶修理技术资料》一式二份。</w:t>
      </w:r>
    </w:p>
    <w:p>
      <w:pPr>
        <w:spacing w:line="360" w:lineRule="auto"/>
        <w:ind w:firstLine="482" w:firstLineChars="200"/>
        <w:rPr>
          <w:rFonts w:ascii="宋体"/>
          <w:color w:val="auto"/>
          <w:sz w:val="24"/>
          <w:szCs w:val="24"/>
          <w:highlight w:val="none"/>
        </w:rPr>
      </w:pPr>
      <w:r>
        <w:rPr>
          <w:rFonts w:hint="eastAsia" w:ascii="宋体" w:hAnsi="宋体" w:cs="宋体"/>
          <w:b/>
          <w:color w:val="auto"/>
          <w:sz w:val="24"/>
          <w:szCs w:val="24"/>
          <w:highlight w:val="none"/>
        </w:rPr>
        <w:t>第六条</w:t>
      </w:r>
      <w:r>
        <w:rPr>
          <w:rFonts w:ascii="宋体" w:hAnsi="宋体" w:cs="宋体"/>
          <w:color w:val="auto"/>
          <w:sz w:val="24"/>
          <w:szCs w:val="24"/>
          <w:highlight w:val="none"/>
        </w:rPr>
        <w:t xml:space="preserve">  </w:t>
      </w:r>
      <w:r>
        <w:rPr>
          <w:rFonts w:hint="eastAsia" w:ascii="宋体" w:hAnsi="宋体" w:cs="宋体"/>
          <w:b/>
          <w:bCs/>
          <w:color w:val="auto"/>
          <w:sz w:val="24"/>
          <w:szCs w:val="24"/>
          <w:highlight w:val="none"/>
        </w:rPr>
        <w:t>质量保证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船舶验收出厂后，凡由乙方进行施工的所有项目保质期，其活动件为</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个月，固定件为</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个月。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质保期内，属于乙方的修理质量问题而引起的故障或缺陷，乙方应在接到甲方通知后</w:t>
      </w:r>
      <w:r>
        <w:rPr>
          <w:rFonts w:hint="eastAsia" w:ascii="宋体" w:hAnsi="宋体" w:cs="宋体"/>
          <w:color w:val="auto"/>
          <w:sz w:val="24"/>
          <w:szCs w:val="24"/>
          <w:highlight w:val="none"/>
          <w:lang w:val="en-US" w:eastAsia="zh-CN"/>
        </w:rPr>
        <w:t>48小时</w:t>
      </w:r>
      <w:r>
        <w:rPr>
          <w:rFonts w:hint="eastAsia" w:ascii="宋体" w:hAnsi="宋体" w:cs="宋体"/>
          <w:color w:val="auto"/>
          <w:sz w:val="24"/>
          <w:szCs w:val="24"/>
          <w:highlight w:val="none"/>
        </w:rPr>
        <w:t>内无条件免费修复设备，如乙方无法及时安排返修或在合理的期限内不能修复，甲方可选择第三方修复，乙方可派员监修，费用由乙方承担，给甲方造成损失的，乙方应予赔偿。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质保期内，属于甲方操作不当或提供的备配件的质量问题而引起的故障、缺陷和损失，则由甲方负责。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属于难以判明的质量问题，由双方代表报请有关权威机构裁定。</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第七条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船舶维修完成经甲方验收合格后，修理结束交船并提供有关检修报告等技术资料后，双方</w:t>
      </w:r>
      <w:r>
        <w:rPr>
          <w:rFonts w:hint="eastAsia" w:ascii="宋体" w:hAnsi="宋体" w:cs="宋体"/>
          <w:color w:val="auto"/>
          <w:sz w:val="24"/>
          <w:highlight w:val="none"/>
        </w:rPr>
        <w:t>根据第三方“公估公司”的审核价格</w:t>
      </w:r>
      <w:r>
        <w:rPr>
          <w:rFonts w:hint="eastAsia" w:ascii="宋体" w:hAnsi="宋体" w:cs="宋体"/>
          <w:color w:val="auto"/>
          <w:sz w:val="24"/>
          <w:szCs w:val="24"/>
          <w:highlight w:val="none"/>
        </w:rPr>
        <w:t>对该次维修费用总额进行核对确认，乙方向甲方出具符合税务部门规范的全额增值税专用发票，税率为13%，甲方收到前述发票后在二十天内支付乙方该单次维修费总额</w:t>
      </w:r>
      <w:r>
        <w:rPr>
          <w:rFonts w:ascii="宋体" w:hAnsi="宋体" w:cs="宋体"/>
          <w:color w:val="auto"/>
          <w:sz w:val="24"/>
          <w:szCs w:val="24"/>
          <w:highlight w:val="none"/>
        </w:rPr>
        <w:t>90%</w:t>
      </w:r>
      <w:r>
        <w:rPr>
          <w:rFonts w:hint="eastAsia" w:ascii="宋体" w:hAnsi="宋体" w:cs="宋体"/>
          <w:color w:val="auto"/>
          <w:sz w:val="24"/>
          <w:szCs w:val="24"/>
          <w:highlight w:val="none"/>
        </w:rPr>
        <w:t>的维修费，剩余</w:t>
      </w:r>
      <w:r>
        <w:rPr>
          <w:rFonts w:ascii="宋体" w:hAnsi="宋体" w:cs="宋体"/>
          <w:color w:val="auto"/>
          <w:sz w:val="24"/>
          <w:szCs w:val="24"/>
          <w:highlight w:val="none"/>
        </w:rPr>
        <w:t>10%</w:t>
      </w:r>
      <w:r>
        <w:rPr>
          <w:rFonts w:hint="eastAsia" w:ascii="宋体" w:hAnsi="宋体" w:cs="宋体"/>
          <w:color w:val="auto"/>
          <w:sz w:val="24"/>
          <w:szCs w:val="24"/>
          <w:highlight w:val="none"/>
        </w:rPr>
        <w:t>的维修费作为质保金。质保期满后，经甲方确认，在固定件质保期</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个月内确未发现维修质量问题，设备运转正常，甲方应当凭乙方出具的有效收据，将质保</w:t>
      </w:r>
      <w:r>
        <w:rPr>
          <w:rFonts w:hint="eastAsia" w:ascii="宋体" w:hAnsi="宋体" w:eastAsia="宋体" w:cs="宋体"/>
          <w:color w:val="auto"/>
          <w:sz w:val="24"/>
          <w:szCs w:val="24"/>
          <w:highlight w:val="none"/>
        </w:rPr>
        <w:t>金无息付给乙方。（注：付款方式为银行转账）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甲方开票账户信息：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公司名称：宁波油港轮驳有限公司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税号：91330211MA2GUYPU60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银行账户：工行宁波市镇海区支行 3901160009200154149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联系地址：宁波市镇海区沿江东路173号 </w:t>
      </w:r>
      <w:r>
        <w:rPr>
          <w:rFonts w:hint="eastAsia" w:ascii="宋体" w:hAnsi="宋体" w:eastAsia="宋体" w:cs="宋体"/>
          <w:color w:val="auto"/>
          <w:sz w:val="24"/>
          <w:highlight w:val="none"/>
          <w:lang w:val="en-US" w:eastAsia="zh-CN"/>
        </w:rPr>
        <w:t xml:space="preserve">   电话：</w:t>
      </w:r>
      <w:r>
        <w:rPr>
          <w:rFonts w:hint="eastAsia" w:ascii="宋体" w:hAnsi="宋体" w:eastAsia="宋体" w:cs="宋体"/>
          <w:color w:val="auto"/>
          <w:sz w:val="24"/>
          <w:highlight w:val="none"/>
        </w:rPr>
        <w:t>27695047</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乙方银行账户信息：</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公司名称：</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税号：</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银行账户：</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联系地址：</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第八条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乙方因自身原因导致违反本合同第三条第一款之规定的，即乙方延迟交船，每延迟一天乙方应当支付</w:t>
      </w:r>
      <w:r>
        <w:rPr>
          <w:rFonts w:ascii="宋体" w:hAnsi="宋体" w:cs="宋体"/>
          <w:color w:val="auto"/>
          <w:sz w:val="24"/>
          <w:szCs w:val="24"/>
          <w:highlight w:val="none"/>
        </w:rPr>
        <w:t>2000</w:t>
      </w:r>
      <w:r>
        <w:rPr>
          <w:rFonts w:hint="eastAsia" w:ascii="宋体" w:hAnsi="宋体" w:cs="宋体"/>
          <w:color w:val="auto"/>
          <w:sz w:val="24"/>
          <w:szCs w:val="24"/>
          <w:highlight w:val="none"/>
        </w:rPr>
        <w:t>元/日的违约金，违约金最高为</w:t>
      </w:r>
      <w:r>
        <w:rPr>
          <w:rFonts w:ascii="宋体" w:hAnsi="宋体" w:cs="宋体"/>
          <w:color w:val="auto"/>
          <w:sz w:val="24"/>
          <w:szCs w:val="24"/>
          <w:highlight w:val="none"/>
        </w:rPr>
        <w:t>20000</w:t>
      </w:r>
      <w:r>
        <w:rPr>
          <w:rFonts w:hint="eastAsia" w:ascii="宋体" w:hAnsi="宋体" w:cs="宋体"/>
          <w:color w:val="auto"/>
          <w:sz w:val="24"/>
          <w:szCs w:val="24"/>
          <w:highlight w:val="none"/>
        </w:rPr>
        <w:t>元。乙方同意上述违约金可直接在甲方应付未付款项中扣除。但若上述违约金不足以弥补损失的，乙方还应当就差额部分进行补足。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合同签订后双方应按合同规定的条款严格执行，如有一方违反本合同除第三条第一款外的其他合同条款，则违约方按合同价的</w:t>
      </w:r>
      <w:r>
        <w:rPr>
          <w:rFonts w:ascii="宋体" w:hAnsi="宋体" w:cs="宋体"/>
          <w:color w:val="auto"/>
          <w:sz w:val="24"/>
          <w:szCs w:val="24"/>
          <w:highlight w:val="none"/>
        </w:rPr>
        <w:t>10</w:t>
      </w:r>
      <w:r>
        <w:rPr>
          <w:rFonts w:hint="eastAsia" w:ascii="宋体" w:hAnsi="宋体" w:cs="宋体"/>
          <w:color w:val="auto"/>
          <w:sz w:val="24"/>
          <w:szCs w:val="24"/>
          <w:highlight w:val="none"/>
        </w:rPr>
        <w:t>％支付违约金，同时还应承担因违约造成另一方的全部经济损失。</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第九条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争议的解决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对于因本合同产生的或与本合同相关的任何争议，合同当事方应当友好协商解决，协商不成的，将该争议提交宁波海事法院通过诉讼解决，本约定如与法律规定的专门管辖或专属管辖相冲突的，应服从法律的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对于合同中未受争议问题影响的其他条款，在争议解决过程中，双方仍应按合同约定履行。</w:t>
      </w:r>
    </w:p>
    <w:p>
      <w:pPr>
        <w:spacing w:line="360" w:lineRule="auto"/>
        <w:jc w:val="left"/>
        <w:rPr>
          <w:rFonts w:hint="eastAsia"/>
          <w:color w:val="auto"/>
          <w:sz w:val="24"/>
          <w:highlight w:val="none"/>
          <w:lang w:val="en-US" w:eastAsia="zh-CN"/>
        </w:rPr>
      </w:pPr>
      <w:r>
        <w:rPr>
          <w:rFonts w:hint="eastAsia"/>
          <w:b/>
          <w:bCs/>
          <w:color w:val="auto"/>
          <w:sz w:val="24"/>
          <w:highlight w:val="none"/>
          <w:lang w:val="en-US" w:eastAsia="zh-CN"/>
        </w:rPr>
        <w:t>第十条 解释</w:t>
      </w:r>
    </w:p>
    <w:p>
      <w:pPr>
        <w:spacing w:line="360" w:lineRule="auto"/>
        <w:ind w:firstLine="480" w:firstLineChars="200"/>
        <w:jc w:val="left"/>
        <w:rPr>
          <w:rFonts w:hint="eastAsia"/>
          <w:color w:val="auto"/>
          <w:sz w:val="24"/>
          <w:highlight w:val="none"/>
          <w:lang w:val="en-US" w:eastAsia="zh-CN"/>
        </w:rPr>
      </w:pPr>
      <w:r>
        <w:rPr>
          <w:rFonts w:hint="eastAsia"/>
          <w:color w:val="auto"/>
          <w:sz w:val="24"/>
          <w:highlight w:val="none"/>
          <w:lang w:val="en-US" w:eastAsia="zh-CN"/>
        </w:rPr>
        <w:t>下列文件共同构成本项目合同文件并按下列顺序解释：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（1）本合同书及附件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（2）中标通知书；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（3）投标函及其附录；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（4）招标文件及技术标准；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（5）其他合同文件。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在合同履行过程中形成的与合同有关且经双方确认的文件均构成合同文件组成部分。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上述合同文件包括合同当事人就该项合同文件所作出的补充和修改，属于同一类内容的文件，应以最新签署的为准。</w:t>
      </w:r>
    </w:p>
    <w:p>
      <w:pPr>
        <w:spacing w:line="360" w:lineRule="auto"/>
        <w:ind w:firstLine="482" w:firstLineChars="200"/>
        <w:rPr>
          <w:rFonts w:ascii="宋体"/>
          <w:b/>
          <w:bCs/>
          <w:color w:val="auto"/>
          <w:sz w:val="24"/>
          <w:szCs w:val="24"/>
          <w:highlight w:val="none"/>
        </w:rPr>
      </w:pPr>
      <w:r>
        <w:rPr>
          <w:rFonts w:hint="eastAsia" w:ascii="宋体" w:hAnsi="宋体" w:cs="宋体"/>
          <w:b/>
          <w:bCs/>
          <w:color w:val="auto"/>
          <w:sz w:val="24"/>
          <w:szCs w:val="24"/>
          <w:highlight w:val="none"/>
        </w:rPr>
        <w:t>第十</w:t>
      </w:r>
      <w:r>
        <w:rPr>
          <w:rFonts w:hint="eastAsia" w:ascii="宋体" w:hAnsi="宋体" w:cs="宋体"/>
          <w:b/>
          <w:bCs/>
          <w:color w:val="auto"/>
          <w:sz w:val="24"/>
          <w:szCs w:val="24"/>
          <w:highlight w:val="none"/>
          <w:lang w:val="en-US" w:eastAsia="zh-CN"/>
        </w:rPr>
        <w:t>一</w:t>
      </w:r>
      <w:r>
        <w:rPr>
          <w:rFonts w:hint="eastAsia" w:ascii="宋体" w:hAnsi="宋体" w:cs="宋体"/>
          <w:b/>
          <w:bCs/>
          <w:color w:val="auto"/>
          <w:sz w:val="24"/>
          <w:szCs w:val="24"/>
          <w:highlight w:val="none"/>
        </w:rPr>
        <w:t>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其他事项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乙方应具备与本合同业务相适应的经营资质</w:t>
      </w:r>
      <w:r>
        <w:rPr>
          <w:rFonts w:ascii="宋体" w:cs="宋体"/>
          <w:color w:val="auto"/>
          <w:sz w:val="24"/>
          <w:szCs w:val="24"/>
          <w:highlight w:val="none"/>
        </w:rPr>
        <w:t>,</w:t>
      </w:r>
      <w:r>
        <w:rPr>
          <w:rFonts w:hint="eastAsia" w:ascii="宋体" w:hAnsi="宋体" w:cs="宋体"/>
          <w:color w:val="auto"/>
          <w:sz w:val="24"/>
          <w:szCs w:val="24"/>
          <w:highlight w:val="none"/>
        </w:rPr>
        <w:t>并在签订合同时向甲方提供其合法经营及能力资质的证明文件。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甲乙双方就船舶修理期间的安全生产及安全责任严格按照另行签订的作为本合同附件的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安全</w:t>
      </w:r>
      <w:r>
        <w:rPr>
          <w:rFonts w:hint="eastAsia" w:ascii="宋体" w:hAnsi="宋体" w:cs="宋体"/>
          <w:color w:val="auto"/>
          <w:sz w:val="24"/>
          <w:szCs w:val="24"/>
          <w:highlight w:val="none"/>
          <w:lang w:val="en-US" w:eastAsia="zh-CN"/>
        </w:rPr>
        <w:t>管理</w:t>
      </w:r>
      <w:r>
        <w:rPr>
          <w:rFonts w:hint="eastAsia" w:ascii="宋体" w:hAnsi="宋体" w:cs="宋体"/>
          <w:color w:val="auto"/>
          <w:sz w:val="24"/>
          <w:szCs w:val="24"/>
          <w:highlight w:val="none"/>
        </w:rPr>
        <w:t>协议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甲乙双方就船舶修理期间的行风廉洁建设严格按照另行签订的作为本合同附件的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廉洁协议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最终确认的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”轮修理工程报价单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（即报价单），作为本合同的构成附件。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本合同自双方</w:t>
      </w:r>
      <w:r>
        <w:rPr>
          <w:rFonts w:hint="eastAsia" w:ascii="宋体" w:hAnsi="宋体" w:cs="宋体"/>
          <w:color w:val="auto"/>
          <w:sz w:val="24"/>
          <w:szCs w:val="24"/>
          <w:highlight w:val="none"/>
          <w:lang w:val="en-US" w:eastAsia="zh-CN"/>
        </w:rPr>
        <w:t>盖</w:t>
      </w:r>
      <w:r>
        <w:rPr>
          <w:rFonts w:hint="eastAsia" w:ascii="宋体" w:hAnsi="宋体" w:cs="宋体"/>
          <w:color w:val="auto"/>
          <w:sz w:val="24"/>
          <w:szCs w:val="24"/>
          <w:highlight w:val="none"/>
        </w:rPr>
        <w:t>章后生效,</w:t>
      </w:r>
      <w:r>
        <w:rPr>
          <w:rFonts w:ascii="宋体" w:hAnsi="宋体"/>
          <w:color w:val="auto"/>
          <w:sz w:val="24"/>
          <w:szCs w:val="24"/>
          <w:highlight w:val="none"/>
        </w:rPr>
        <w:t xml:space="preserve"> 合同履行完毕后自行失效</w:t>
      </w:r>
      <w:r>
        <w:rPr>
          <w:rFonts w:hint="eastAsia" w:ascii="宋体" w:hAnsi="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本合同正本一式肆份，</w:t>
      </w:r>
      <w:r>
        <w:rPr>
          <w:rFonts w:hint="eastAsia" w:ascii="宋体" w:hAnsi="宋体"/>
          <w:color w:val="auto"/>
          <w:sz w:val="24"/>
          <w:szCs w:val="24"/>
          <w:highlight w:val="none"/>
        </w:rPr>
        <w:t>甲方执贰份，乙方执贰份，具有同等法律效力。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color w:val="auto"/>
          <w:sz w:val="24"/>
          <w:szCs w:val="24"/>
          <w:highlight w:val="none"/>
        </w:rPr>
      </w:pPr>
      <w:r>
        <w:rPr>
          <w:rFonts w:hint="eastAsia" w:ascii="宋体" w:hAnsi="宋体" w:cs="宋体"/>
          <w:color w:val="auto"/>
          <w:sz w:val="24"/>
          <w:szCs w:val="24"/>
          <w:highlight w:val="none"/>
        </w:rPr>
        <w:t>附件：</w:t>
      </w:r>
      <w:r>
        <w:rPr>
          <w:rFonts w:ascii="宋体" w:hAnsi="宋体" w:cs="宋体"/>
          <w:color w:val="auto"/>
          <w:sz w:val="24"/>
          <w:szCs w:val="24"/>
          <w:highlight w:val="none"/>
        </w:rPr>
        <w:t>1</w:t>
      </w:r>
      <w:r>
        <w:rPr>
          <w:rFonts w:hint="eastAsia" w:ascii="宋体" w:hAnsi="宋体" w:cs="宋体"/>
          <w:color w:val="auto"/>
          <w:sz w:val="24"/>
          <w:szCs w:val="24"/>
          <w:highlight w:val="none"/>
        </w:rPr>
        <w:t>.安全</w:t>
      </w:r>
      <w:r>
        <w:rPr>
          <w:rFonts w:hint="eastAsia" w:ascii="宋体" w:hAnsi="宋体" w:cs="宋体"/>
          <w:color w:val="auto"/>
          <w:sz w:val="24"/>
          <w:szCs w:val="24"/>
          <w:highlight w:val="none"/>
          <w:lang w:val="en-US" w:eastAsia="zh-CN"/>
        </w:rPr>
        <w:t>管理</w:t>
      </w:r>
      <w:r>
        <w:rPr>
          <w:rFonts w:hint="eastAsia" w:ascii="宋体" w:hAnsi="宋体" w:cs="宋体"/>
          <w:color w:val="auto"/>
          <w:sz w:val="24"/>
          <w:szCs w:val="24"/>
          <w:highlight w:val="none"/>
        </w:rPr>
        <w:t>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00" w:firstLineChars="5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廉洁协议</w:t>
      </w:r>
    </w:p>
    <w:p>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3.合规承诺函</w:t>
      </w:r>
    </w:p>
    <w:p>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”轮修理工程报价单</w:t>
      </w:r>
    </w:p>
    <w:p>
      <w:pPr>
        <w:spacing w:line="360" w:lineRule="auto"/>
        <w:rPr>
          <w:rFonts w:hint="eastAsia" w:ascii="宋体" w:hAnsi="宋体" w:cs="宋体"/>
          <w:color w:val="auto"/>
          <w:sz w:val="24"/>
          <w:szCs w:val="24"/>
          <w:highlight w:val="none"/>
        </w:rPr>
      </w:pPr>
    </w:p>
    <w:p>
      <w:pPr>
        <w:spacing w:line="360" w:lineRule="auto"/>
        <w:rPr>
          <w:color w:val="auto"/>
          <w:sz w:val="24"/>
          <w:szCs w:val="24"/>
          <w:highlight w:val="none"/>
        </w:rPr>
      </w:pPr>
      <w:r>
        <w:rPr>
          <w:rFonts w:hint="eastAsia" w:ascii="宋体" w:hAnsi="宋体" w:cs="宋体"/>
          <w:color w:val="auto"/>
          <w:sz w:val="24"/>
          <w:szCs w:val="24"/>
          <w:highlight w:val="none"/>
        </w:rPr>
        <w:t>甲方（盖章）：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乙方（盖章）：</w:t>
      </w:r>
    </w:p>
    <w:p>
      <w:pPr>
        <w:spacing w:line="360" w:lineRule="auto"/>
        <w:jc w:val="both"/>
        <w:rPr>
          <w:rFonts w:hint="eastAsia" w:ascii="宋体" w:hAnsi="宋体" w:cs="宋体"/>
          <w:color w:val="auto"/>
          <w:sz w:val="24"/>
          <w:szCs w:val="24"/>
          <w:highlight w:val="none"/>
        </w:rPr>
      </w:pPr>
    </w:p>
    <w:p>
      <w:pPr>
        <w:spacing w:line="360" w:lineRule="auto"/>
        <w:ind w:left="0" w:leftChars="0" w:firstLine="1680" w:firstLineChars="7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签订日期：</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日</w:t>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pPr>
        <w:keepNext w:val="0"/>
        <w:keepLines w:val="0"/>
        <w:pageBreakBefore w:val="0"/>
        <w:widowControl w:val="0"/>
        <w:kinsoku/>
        <w:wordWrap/>
        <w:overflowPunct/>
        <w:topLinePunct w:val="0"/>
        <w:autoSpaceDE/>
        <w:autoSpaceDN/>
        <w:bidi w:val="0"/>
        <w:adjustRightInd/>
        <w:spacing w:line="560" w:lineRule="exact"/>
        <w:ind w:left="0" w:leftChars="0" w:firstLine="0" w:firstLineChars="0"/>
        <w:jc w:val="both"/>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附件1</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宋体" w:cs="宋体"/>
          <w:b/>
          <w:bCs/>
          <w:color w:val="auto"/>
          <w:sz w:val="36"/>
          <w:szCs w:val="36"/>
          <w:highlight w:val="none"/>
          <w:lang w:val="en-US" w:eastAsia="zh-CN"/>
        </w:rPr>
      </w:pPr>
      <w:r>
        <w:rPr>
          <w:rFonts w:hint="eastAsia" w:ascii="宋体" w:cs="宋体"/>
          <w:b/>
          <w:bCs/>
          <w:color w:val="auto"/>
          <w:sz w:val="36"/>
          <w:szCs w:val="36"/>
          <w:highlight w:val="none"/>
          <w:lang w:val="en-US" w:eastAsia="zh-CN"/>
        </w:rPr>
        <w:t>安全管理协议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甲方：宁波油港轮驳有限公司</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按照安全生产法、消防法、环境保护法和职业病防治法等法律法规及其施工现场安全管理规定，坚持“安全第一、预防为主、综合治理”的方针，为贯彻落实有关安全管理的法律法规，建立“责任明确、管理高效、资源共享、保障有力”的管理工作机制，落实安全责任制。经甲、乙双方的平等协商，甲乙双方签订本协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1.甲乙双方性质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甲、乙双方均为依法注册成立的独立、能够各自承担相应法律责任的企业法人，具有完全的民事权利能力和民事行为能力。</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2.甲方的权利、责任和义务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w:t>
      </w:r>
      <w:r>
        <w:rPr>
          <w:rFonts w:hint="eastAsia" w:ascii="宋体" w:hAnsi="宋体" w:cs="宋体"/>
          <w:color w:val="auto"/>
          <w:sz w:val="24"/>
          <w:szCs w:val="24"/>
          <w:highlight w:val="none"/>
          <w:lang w:val="en-US" w:eastAsia="zh-CN"/>
        </w:rPr>
        <w:t>贯彻落实国家安全生产法、消防法、环境保护法和职业病防治法等法律法规，以及港区有关安全管理的规定，甲方对乙方人员及作业行为、设备、步骤、安全措施落实、规章制度执行等情况进行检查，提出处理、整改意见，督促乙方积极对安全风险和隐患进行辨识与评估分析，落实安全措施，实施对乙方的安全考核惩处。但此项检查和评估不得被视为甲方对乙方场所、人员及设备安全性的确认和保证，不得因此要求甲方承担额外的安全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 甲方有权审核乙方的生产经营资质，有权要求乙方提供相应资料并存档。</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 甲方有权根据国家法律法规、合同约定和甲方的规章制度要求乙方对其违法违规行为承担相应责任，同时有权要求其限期整改。对于严重违规的，甲方可责令其停工整改。</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对乙方发生的危及安全生产的事件、事故进行调查、取证并提出处理和整改意见。对发生一般及以上事故及时向有关部门进行报告，并立即开展相关应急处置、人员救护，并保护现场，配合事故调查。</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积极配合乙方在发生安全生产事故时的应急抢救工作。</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 xml:space="preserve"> 甲方与乙方签订本安全协议之日，甲方对乙方人员进行安全教育，督促乙方认真执行本公司安全生产管理规章制度,督促乙方做好内部员工的安全教育工作。甲方向乙方提供的安全管理制度均视为本协议附件，对乙方及其人员均具有完整约束力。</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2.5在进行动火、登高等由国家安全监督管理部门会同国务院有关部门规定的危险作业时，甲方应安排专门人员进行现场安全管理。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 xml:space="preserve"> 甲方对其本合同项下的权利与责任的行使情况，不能成为甲方承担不利后果的理由，乙方不得据此要求甲方承担责任或要求据此减轻乙方责任。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配置安全管理人员，指定专职安全生产管理人员进行安全检查与协调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现场安全负责人一人，为本船船长，负责现场安全管理。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专职安全生产管理人员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，电话：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甲方现场</w:t>
      </w:r>
      <w:r>
        <w:rPr>
          <w:rFonts w:hint="eastAsia" w:ascii="宋体" w:hAnsi="宋体" w:cs="宋体"/>
          <w:color w:val="auto"/>
          <w:sz w:val="24"/>
          <w:szCs w:val="24"/>
          <w:highlight w:val="none"/>
        </w:rPr>
        <w:t>安全</w:t>
      </w:r>
      <w:r>
        <w:rPr>
          <w:rFonts w:hint="eastAsia" w:ascii="宋体" w:hAnsi="宋体" w:cs="宋体"/>
          <w:color w:val="auto"/>
          <w:sz w:val="24"/>
          <w:szCs w:val="24"/>
          <w:highlight w:val="none"/>
          <w:lang w:val="en-US" w:eastAsia="zh-CN"/>
        </w:rPr>
        <w:t>负责人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，电话：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3.乙方的责任、权利和义务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 甲方在对乙方进行的日常安全管理中发现乙方及其人员（含虽与乙方无劳动合同关系，但系乙方安排从事本项目相应工作的人员，下同）有违法违规违约行为需要承担责任的，甲方可直接从合同款中扣除相应费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3.2 乙方必须严格遵守国家的有关法律法规，向甲方提供所取得的各种合法手续，包括但不限于：营业执照、环评批复、“三同时”验收、排污许可证，以及公安消防、安监和职业健康的验收报告等，政府相关部门规定的其他合法文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3.3 乙方法定代表人和项目具体负责人是该项目的安全责任人，对本单位的治安、安全管理工作负全面责任。乙方必须将“安全第一、预防为主”落实到施工、生产经营活动的全过程，严格遵守国家、地方政府以及甲方的各种安全管理制度，服从甲方的监督、管理和检查、指导，对甲方提出的安全整改意见必须及时整改。</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3.4 乙方在施工、生产经营过程当中，应配备专职或兼职的安全员，安全员应经过各种安全培训，依法取得相应从业资格，能全部满足现场生产作业的实际要求。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3.5 乙方在约定场所必须严格执行国家有关法律、法规和港区有关规定，对有关人员进行安全教育和相关培训，将参加安全教育人员名单（包括临时增补或调换人员）报甲方备案，并督促其严格遵守甲方安全生产、港口设施保安等方面的各项制度、规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3.6 乙方在施工、生产经营活动中，乙方必须为相关的施工人员和操作人员提供和配备满足环境保护和职业健康所需的设备、工具和防护装备。</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3.7 乙方人员对所处的作业区域、作业环境、操作设施设备、工器具等必须认真检查，一旦发现隐患，立即停止作业，并由有关单位落实整改后方准作业。一经作业，就表示乙方已经确认该作业场所、作业环境、设施设备和工器具等符合安全生产要求和处于安全状态。作业过程中因乙方原因或由于上述因素不良而导致的事故及造成第三责任事故均由乙方承担事故责任，并赔偿其事故的一切经济损失，因此，使甲方承担责任的，乙方应全部赔偿甲方所遭受的经济损失。</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3.8 除指定地点外，乙方任何人员不得在室外、作业区等处吸烟，不得私自动用各类明火，不得随意乱拉电线、接线盒等。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3.9 乙方作业过程中如需使用水、电及动用明火等，作业单位必须事先向甲方主管部门办理审批手续，经甲方同意后，由乙方指定专人负责落实。</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3.10 未经甲方书面同意，乙方不得擅自在所租场地或港区内搭建设施，不得擅自将与业务无关设施设备带入港区开展经营活动，在港区内使用新设备设施必须经甲方同意。</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3.11 乙方人员自觉遵守登轮纪律，严禁携带走私物品和非法违禁物品进入港区，如需登轮或进入口岸限制区域，必须持有有效证件，如违反规定，甲方有权将乙方违规人员移交边防或公安机关并依法处理。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3.12 乙方人员下班后应切断电源，确保用电安全。租赁（工作）场所内、外禁止摆放汽油、柴油、烟花爆竹、油漆等易燃易爆物品。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3.13 如遇大风、大雾天、雷暴雨等恶劣气候影响作业安全时，禁止作业。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3.14 乙方应坚持开展扫除“黄、赌、毒”工作，从业人员不参与“黄、赌、毒”活动，不发生可预防性重大治安事件。</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3.15 乙方应组织人员开展定期、不定期的隐患排查，并及时将排查整改、整治情况报甲方主管部室备案。</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3.16 乙方人员（及乙方相关人员）、车辆、装备不得在非乙方作业区域逗留，如因在非乙方作业区域逗留发生人身伤亡或财产损失的，后果和责任由乙方自行承担，与甲方无涉。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3.17 乙方必须承担其所属工作人员的人身伤亡、财产损失等后果，甲方不承担任何责任。乙方对所属作业及其雇员需购买相应的财产一切险、雇主责任险、意外伤害险等。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3.1</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乙方必须</w:t>
      </w:r>
      <w:r>
        <w:rPr>
          <w:rFonts w:hint="eastAsia" w:ascii="宋体" w:hAnsi="宋体" w:cs="宋体"/>
          <w:color w:val="auto"/>
          <w:sz w:val="24"/>
          <w:szCs w:val="24"/>
          <w:highlight w:val="none"/>
          <w:lang w:val="en-US" w:eastAsia="zh-CN"/>
        </w:rPr>
        <w:t>在开工前开展（码头维修、陆域维修、工程施工等）安全生产风险辨识。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3.19</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en-US" w:eastAsia="zh-CN"/>
        </w:rPr>
        <w:t>应根据项目特点，在开工前编制施工应急预案或应急措施</w:t>
      </w:r>
      <w:r>
        <w:rPr>
          <w:rFonts w:hint="eastAsia" w:ascii="宋体" w:hAnsi="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3.20</w:t>
      </w:r>
      <w:r>
        <w:rPr>
          <w:rFonts w:hint="eastAsia" w:ascii="宋体" w:hAnsi="宋体" w:cs="宋体"/>
          <w:color w:val="auto"/>
          <w:sz w:val="24"/>
          <w:szCs w:val="24"/>
          <w:highlight w:val="none"/>
        </w:rPr>
        <w:t xml:space="preserve"> 乙方在施工期间发生安全事件、事故的（包括由此使甲方人员、他方人员受伤、危及周围企业安全等），要及时报告甲方，配合甲方进行应急处置、人员救护</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保护现场，配合甲方进行事故调查取证，并做好事件、事故处理和善后。发生一般及以上事故的，按有关规定及时上报政府主管部门。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3.20 乙方</w:t>
      </w:r>
      <w:r>
        <w:rPr>
          <w:rFonts w:hint="eastAsia" w:ascii="宋体" w:hAnsi="宋体" w:cs="宋体"/>
          <w:color w:val="auto"/>
          <w:sz w:val="24"/>
          <w:szCs w:val="24"/>
          <w:highlight w:val="none"/>
        </w:rPr>
        <w:t>专职安全生产管理人员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，电话：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其他约定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 发生事故后，乙方弄虚作假、隐瞒不报、迟报或谎报，一经查出，情节严重的，甲方有权扣除乙方缴纳的全部安全保证金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如合同中有约定的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，并有权解除主合同。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 乙方在作业过程中未按照甲方要求进行作业的或乙方作业人员发生其他违规作业现象的，应按照甲方的相关规定进行处理。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4.4 事故责任及经济赔偿，因双方责任发生的生产安全事故，根据事故责任划分（以交警、安全管理部门或当地政府事故处理责任部门出具的事故责任判定书为准），由各自承担相应事故责任及经济赔偿。</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4.5 由于乙方或自然原因引起的人员伤亡、环境事故以及财产损失，均由乙方负责，与甲方无关，乙方应自行做好善后工作，防止事态扩大。如因乙方及乙方人员的原因造成甲方财产损失、人员伤害的，乙方应承担由此引起的一切损失。</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4.6乙方对甲方提出的安全整改意见不及时整改的，每逾期一天，乙方按200元/天向甲方承担违约责任。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4.7 安全、质量存在严重问题，现场管理混乱，安全设施不齐备，被集团或上级管理部门停工整顿的，扣除合同总价的0.1%/次。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4.8 </w:t>
      </w:r>
      <w:r>
        <w:rPr>
          <w:rFonts w:hint="eastAsia" w:ascii="宋体" w:hAnsi="宋体" w:cs="宋体"/>
          <w:color w:val="auto"/>
          <w:sz w:val="24"/>
          <w:szCs w:val="24"/>
          <w:highlight w:val="none"/>
          <w:lang w:val="en-US" w:eastAsia="zh-CN"/>
        </w:rPr>
        <w:t>乙方存在以下情况，甲方有权终止合同，由此造成的损失，由乙方承担：</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w:t>
      </w:r>
      <w:r>
        <w:rPr>
          <w:rFonts w:hint="eastAsia" w:ascii="宋体" w:hAnsi="宋体" w:cs="宋体"/>
          <w:color w:val="auto"/>
          <w:sz w:val="24"/>
          <w:szCs w:val="24"/>
          <w:highlight w:val="none"/>
        </w:rPr>
        <w:t>合同期内，作业人员因违章指挥、违规作业或违反劳动纪律等行为，导致发生重伤及以上责任事故的。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4.8.2</w:t>
      </w:r>
      <w:r>
        <w:rPr>
          <w:rFonts w:hint="eastAsia" w:ascii="宋体" w:hAnsi="宋体" w:cs="宋体"/>
          <w:color w:val="auto"/>
          <w:sz w:val="24"/>
          <w:szCs w:val="24"/>
          <w:highlight w:val="none"/>
        </w:rPr>
        <w:t>违章冒险作业情节严重，存在较大亡人风险，且现场拒不停止作业的。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4.8.3</w:t>
      </w:r>
      <w:r>
        <w:rPr>
          <w:rFonts w:hint="eastAsia" w:ascii="宋体" w:hAnsi="宋体" w:cs="宋体"/>
          <w:color w:val="auto"/>
          <w:sz w:val="24"/>
          <w:szCs w:val="24"/>
          <w:highlight w:val="none"/>
        </w:rPr>
        <w:t>合同期内，作业人员吸毒或携带违禁物品进入作业现场，经现场抽查或举报查实的。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4.8.4</w:t>
      </w:r>
      <w:r>
        <w:rPr>
          <w:rFonts w:hint="eastAsia" w:ascii="宋体" w:hAnsi="宋体" w:cs="宋体"/>
          <w:color w:val="auto"/>
          <w:sz w:val="24"/>
          <w:szCs w:val="24"/>
          <w:highlight w:val="none"/>
        </w:rPr>
        <w:t>作业人员持用虚假证件、 冒名顶替、伪造履历入职，或隐瞒重大职业健康禁忌，经查实的。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4.8.5</w:t>
      </w:r>
      <w:r>
        <w:rPr>
          <w:rFonts w:hint="eastAsia" w:ascii="宋体" w:hAnsi="宋体" w:cs="宋体"/>
          <w:color w:val="auto"/>
          <w:sz w:val="24"/>
          <w:szCs w:val="24"/>
          <w:highlight w:val="none"/>
        </w:rPr>
        <w:t>合同期内，作业人员接连发生习惯性违章行为，屡教不改的。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4.8.6</w:t>
      </w:r>
      <w:r>
        <w:rPr>
          <w:rFonts w:hint="eastAsia" w:ascii="宋体" w:hAnsi="宋体" w:cs="宋体"/>
          <w:color w:val="auto"/>
          <w:sz w:val="24"/>
          <w:szCs w:val="24"/>
          <w:highlight w:val="none"/>
        </w:rPr>
        <w:t>合同期内，作业人员因故意或过失，导致</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遭受 50 万元及以上直接经济损失或造成负面舆情影响的。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4.8.7</w:t>
      </w:r>
      <w:r>
        <w:rPr>
          <w:rFonts w:hint="eastAsia" w:ascii="宋体" w:hAnsi="宋体" w:cs="宋体"/>
          <w:color w:val="auto"/>
          <w:sz w:val="24"/>
          <w:szCs w:val="24"/>
          <w:highlight w:val="none"/>
        </w:rPr>
        <w:t>合同期内，专（兼）安全生产管理人员未按规定履行安全生产管理职责，存在未开展现场检查并形成检查记录、未开展安全教育并形成教育记录等履职不到位情形且不配合整改的。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4.8.8</w:t>
      </w:r>
      <w:r>
        <w:rPr>
          <w:rFonts w:hint="eastAsia" w:ascii="宋体" w:hAnsi="宋体" w:cs="宋体"/>
          <w:color w:val="auto"/>
          <w:sz w:val="24"/>
          <w:szCs w:val="24"/>
          <w:highlight w:val="none"/>
        </w:rPr>
        <w:t>合同期内，管理人员未按</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合理要求落实整改或拒不整改的。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4.8.9</w:t>
      </w:r>
      <w:r>
        <w:rPr>
          <w:rFonts w:hint="eastAsia" w:ascii="宋体" w:hAnsi="宋体" w:cs="宋体"/>
          <w:color w:val="auto"/>
          <w:sz w:val="24"/>
          <w:szCs w:val="24"/>
          <w:highlight w:val="none"/>
        </w:rPr>
        <w:t>合同期内，累计造成2名及以上人员重伤责任事故的。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4.8.10</w:t>
      </w:r>
      <w:r>
        <w:rPr>
          <w:rFonts w:hint="eastAsia" w:ascii="宋体" w:hAnsi="宋体" w:cs="宋体"/>
          <w:color w:val="auto"/>
          <w:sz w:val="24"/>
          <w:szCs w:val="24"/>
          <w:highlight w:val="none"/>
        </w:rPr>
        <w:t>合同期内，造成1名及以上人员死亡责任事故的。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4.8.11</w:t>
      </w:r>
      <w:r>
        <w:rPr>
          <w:rFonts w:hint="eastAsia" w:ascii="宋体" w:hAnsi="宋体" w:cs="宋体"/>
          <w:color w:val="auto"/>
          <w:sz w:val="24"/>
          <w:szCs w:val="24"/>
          <w:highlight w:val="none"/>
        </w:rPr>
        <w:t>合同期内，累计被查处5名及以上人员经常性严重违章行为的。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4.8.12</w:t>
      </w:r>
      <w:r>
        <w:rPr>
          <w:rFonts w:hint="eastAsia" w:ascii="宋体" w:hAnsi="宋体" w:cs="宋体"/>
          <w:color w:val="auto"/>
          <w:sz w:val="24"/>
          <w:szCs w:val="24"/>
          <w:highlight w:val="none"/>
        </w:rPr>
        <w:t>合同期内造成事故，导致公司或</w:t>
      </w:r>
      <w:r>
        <w:rPr>
          <w:rFonts w:hint="eastAsia" w:ascii="宋体" w:hAnsi="宋体" w:cs="宋体"/>
          <w:color w:val="auto"/>
          <w:sz w:val="24"/>
          <w:szCs w:val="24"/>
          <w:highlight w:val="none"/>
          <w:lang w:val="en-US" w:eastAsia="zh-CN"/>
        </w:rPr>
        <w:t>相关单位</w:t>
      </w:r>
      <w:r>
        <w:rPr>
          <w:rFonts w:hint="eastAsia" w:ascii="宋体" w:hAnsi="宋体" w:cs="宋体"/>
          <w:color w:val="auto"/>
          <w:sz w:val="24"/>
          <w:szCs w:val="24"/>
          <w:highlight w:val="none"/>
        </w:rPr>
        <w:t>遭受100万元及以上直接经济损失或造成负面舆情影响的。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4.8.13根据甲方的相关方管理办法对乙方进行考核，</w:t>
      </w:r>
      <w:r>
        <w:rPr>
          <w:rFonts w:hint="eastAsia" w:ascii="宋体" w:hAnsi="宋体" w:cs="宋体"/>
          <w:color w:val="auto"/>
          <w:sz w:val="24"/>
          <w:szCs w:val="24"/>
          <w:highlight w:val="none"/>
        </w:rPr>
        <w:t>考核不合格经整改仍无法满足要求的。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4.8.14</w:t>
      </w:r>
      <w:r>
        <w:rPr>
          <w:rFonts w:hint="eastAsia" w:ascii="宋体" w:hAnsi="宋体" w:cs="宋体"/>
          <w:color w:val="auto"/>
          <w:sz w:val="24"/>
          <w:szCs w:val="24"/>
          <w:highlight w:val="none"/>
        </w:rPr>
        <w:t>提供虚假资质材料、业绩证明，骗取准入资格或合作机会的。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4.8.15</w:t>
      </w:r>
      <w:r>
        <w:rPr>
          <w:rFonts w:hint="eastAsia" w:ascii="宋体" w:hAnsi="宋体" w:cs="宋体"/>
          <w:color w:val="auto"/>
          <w:sz w:val="24"/>
          <w:szCs w:val="24"/>
          <w:highlight w:val="none"/>
        </w:rPr>
        <w:t>未按合同要求缴纳相关履约保证金，或保证金被扣减后未在规定时限内补足的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如合同中有约定的</w:t>
      </w:r>
      <w:r>
        <w:rPr>
          <w:rFonts w:hint="eastAsia" w:ascii="宋体" w:hAnsi="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4.8.16</w:t>
      </w:r>
      <w:r>
        <w:rPr>
          <w:rFonts w:hint="eastAsia" w:ascii="宋体" w:hAnsi="宋体" w:cs="宋体"/>
          <w:color w:val="auto"/>
          <w:sz w:val="24"/>
          <w:szCs w:val="24"/>
          <w:highlight w:val="none"/>
        </w:rPr>
        <w:t>违反外包合同及安全协议约定，擅自转包、分包外包业务的。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4.8.17</w:t>
      </w:r>
      <w:r>
        <w:rPr>
          <w:rFonts w:hint="eastAsia" w:ascii="宋体" w:hAnsi="宋体" w:cs="宋体"/>
          <w:color w:val="auto"/>
          <w:sz w:val="24"/>
          <w:szCs w:val="24"/>
          <w:highlight w:val="none"/>
        </w:rPr>
        <w:t>存在严重违法违规行为，被行业主管部门列入失信名单的。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4.8.18</w:t>
      </w:r>
      <w:r>
        <w:rPr>
          <w:rFonts w:hint="eastAsia" w:ascii="宋体" w:hAnsi="宋体" w:cs="宋体"/>
          <w:color w:val="auto"/>
          <w:sz w:val="24"/>
          <w:szCs w:val="24"/>
          <w:highlight w:val="none"/>
        </w:rPr>
        <w:t>拒绝接受公司或各单位安全监管的。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4.8.19</w:t>
      </w:r>
      <w:r>
        <w:rPr>
          <w:rFonts w:hint="eastAsia" w:ascii="宋体" w:hAnsi="宋体" w:cs="宋体"/>
          <w:color w:val="auto"/>
          <w:sz w:val="24"/>
          <w:szCs w:val="24"/>
          <w:highlight w:val="none"/>
        </w:rPr>
        <w:t>无正当理由，隐患整改不及时或拒不整改的。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4.8.20</w:t>
      </w:r>
      <w:r>
        <w:rPr>
          <w:rFonts w:hint="eastAsia" w:ascii="宋体" w:hAnsi="宋体" w:cs="宋体"/>
          <w:color w:val="auto"/>
          <w:sz w:val="24"/>
          <w:szCs w:val="24"/>
          <w:highlight w:val="none"/>
        </w:rPr>
        <w:t>发生其他法定禁止行为的。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5.其他</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 协议各项规定适用于协议双方，如遇有同国家和政府有关法律、法规不符的按国家和政府的有关规定执行。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5.2 本协议作为合同的附件，与主合同具有同等法律效力。经双方盖章后立即生效，有效期与主合同一致，在合同有效期内不可撤销。</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5.3 本协议一式四份，甲乙双方各执二份。</w:t>
      </w:r>
    </w:p>
    <w:p>
      <w:pPr>
        <w:pStyle w:val="15"/>
        <w:rPr>
          <w:rFonts w:hint="eastAsia" w:ascii="宋体" w:hAnsi="宋体" w:cs="宋体"/>
          <w:color w:val="auto"/>
          <w:sz w:val="24"/>
          <w:szCs w:val="24"/>
          <w:highlight w:val="none"/>
        </w:rPr>
      </w:pPr>
    </w:p>
    <w:p>
      <w:pPr>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乙方（盖章）：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1920" w:firstLineChars="8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     年  月   日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pPr>
        <w:pStyle w:val="15"/>
        <w:keepNext w:val="0"/>
        <w:keepLines w:val="0"/>
        <w:pageBreakBefore w:val="0"/>
        <w:widowControl w:val="0"/>
        <w:tabs>
          <w:tab w:val="left" w:pos="8160"/>
        </w:tabs>
        <w:kinsoku/>
        <w:wordWrap/>
        <w:overflowPunct/>
        <w:topLinePunct w:val="0"/>
        <w:autoSpaceDE/>
        <w:autoSpaceDN/>
        <w:bidi w:val="0"/>
        <w:adjustRightInd/>
        <w:spacing w:line="560" w:lineRule="exact"/>
        <w:ind w:left="0" w:leftChars="0" w:firstLine="0" w:firstLineChars="0"/>
        <w:textAlignment w:val="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附件2</w:t>
      </w:r>
    </w:p>
    <w:p>
      <w:pPr>
        <w:keepNext w:val="0"/>
        <w:keepLines w:val="0"/>
        <w:pageBreakBefore w:val="0"/>
        <w:widowControl w:val="0"/>
        <w:tabs>
          <w:tab w:val="left" w:pos="3564"/>
          <w:tab w:val="center" w:pos="4755"/>
        </w:tabs>
        <w:kinsoku/>
        <w:wordWrap/>
        <w:overflowPunct/>
        <w:topLinePunct w:val="0"/>
        <w:autoSpaceDE/>
        <w:autoSpaceDN/>
        <w:bidi w:val="0"/>
        <w:spacing w:line="560" w:lineRule="exact"/>
        <w:ind w:left="0" w:leftChars="0" w:firstLine="0" w:firstLineChars="0"/>
        <w:jc w:val="center"/>
        <w:textAlignment w:val="auto"/>
        <w:rPr>
          <w:rFonts w:ascii="宋体"/>
          <w:b/>
          <w:bCs/>
          <w:color w:val="auto"/>
          <w:sz w:val="36"/>
          <w:szCs w:val="36"/>
          <w:highlight w:val="none"/>
        </w:rPr>
      </w:pPr>
      <w:r>
        <w:rPr>
          <w:rFonts w:hint="eastAsia" w:ascii="宋体" w:hAnsi="宋体" w:cs="宋体"/>
          <w:b/>
          <w:bCs/>
          <w:color w:val="auto"/>
          <w:sz w:val="36"/>
          <w:szCs w:val="36"/>
          <w:highlight w:val="none"/>
        </w:rPr>
        <w:t>廉洁协议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甲方</w:t>
      </w:r>
      <w:r>
        <w:rPr>
          <w:rFonts w:ascii="宋体" w:hAnsi="宋体" w:cs="宋体"/>
          <w:b w:val="0"/>
          <w:bCs w:val="0"/>
          <w:color w:val="auto"/>
          <w:sz w:val="24"/>
          <w:szCs w:val="24"/>
          <w:highlight w:val="none"/>
        </w:rPr>
        <w:t xml:space="preserve">: </w:t>
      </w:r>
      <w:r>
        <w:rPr>
          <w:rFonts w:hint="eastAsia" w:ascii="宋体" w:hAnsi="宋体" w:cs="宋体"/>
          <w:b w:val="0"/>
          <w:bCs w:val="0"/>
          <w:color w:val="auto"/>
          <w:sz w:val="24"/>
          <w:szCs w:val="24"/>
          <w:highlight w:val="none"/>
        </w:rPr>
        <w:t>宁波油港轮驳有限公司</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乙方</w:t>
      </w:r>
      <w:r>
        <w:rPr>
          <w:rFonts w:ascii="宋体" w:hAnsi="宋体" w:cs="宋体"/>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b w:val="0"/>
          <w:bCs w:val="0"/>
          <w:color w:val="auto"/>
          <w:sz w:val="24"/>
          <w:highlight w:val="none"/>
          <w:lang w:val="en-US"/>
        </w:rPr>
      </w:pPr>
      <w:r>
        <w:rPr>
          <w:rFonts w:hint="eastAsia" w:ascii="宋体" w:hAnsi="宋体" w:cs="宋体"/>
          <w:b w:val="0"/>
          <w:bCs w:val="0"/>
          <w:color w:val="auto"/>
          <w:sz w:val="24"/>
          <w:szCs w:val="24"/>
          <w:highlight w:val="none"/>
        </w:rPr>
        <w:t>工程项目名称</w:t>
      </w:r>
      <w:r>
        <w:rPr>
          <w:rFonts w:ascii="宋体" w:hAnsi="宋体" w:cs="宋体"/>
          <w:b w:val="0"/>
          <w:bCs w:val="0"/>
          <w:color w:val="auto"/>
          <w:sz w:val="24"/>
          <w:szCs w:val="24"/>
          <w:highlight w:val="none"/>
        </w:rPr>
        <w:t xml:space="preserve">: </w:t>
      </w:r>
      <w:r>
        <w:rPr>
          <w:rFonts w:hint="eastAsia" w:ascii="宋体" w:hAnsi="宋体" w:cs="宋体"/>
          <w:b w:val="0"/>
          <w:bCs w:val="0"/>
          <w:color w:val="auto"/>
          <w:sz w:val="24"/>
          <w:szCs w:val="24"/>
          <w:highlight w:val="none"/>
          <w:lang w:val="en-US" w:eastAsia="zh-CN"/>
        </w:rPr>
        <w:t>2026年度“甬港拖33”轮修船项目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为进一步完善监督制约机制，防止发生各种谋取不正当利益的违法违纪行为，促使双方工作人员在履行合同过程当中廉洁自律、诚实守信，保护双方合法权益，根据国家有关法律法规及廉政建设的规定，在签订《 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val="en-US" w:eastAsia="zh-CN"/>
        </w:rPr>
        <w:t>甬港拖33”</w:t>
      </w:r>
      <w:r>
        <w:rPr>
          <w:rFonts w:hint="eastAsia" w:ascii="宋体" w:hAnsi="宋体" w:cs="宋体"/>
          <w:color w:val="auto"/>
          <w:sz w:val="24"/>
          <w:szCs w:val="24"/>
          <w:highlight w:val="none"/>
        </w:rPr>
        <w:t>轮修船合同》（合同编号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，以下简称主合同）的基础上，甲乙双方签订本廉洁协议。</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第一条  </w:t>
      </w:r>
      <w:r>
        <w:rPr>
          <w:rFonts w:hint="eastAsia" w:ascii="宋体" w:hAnsi="宋体" w:cs="宋体"/>
          <w:b/>
          <w:bCs/>
          <w:color w:val="auto"/>
          <w:sz w:val="24"/>
          <w:highlight w:val="none"/>
        </w:rPr>
        <w:t>甲乙双方共同权利义务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1.协议双方必须恪守“诚信、公正、科学”的原则，按照主合同要求，把保质保量和及时完成项目作为各自最终的权利和义务，严禁损害企业和各方的合法利益。</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协议双方必须经常教育各自职员严格遵守国家的法律、法规和政策，遵守党的纪律和各项廉洁规定，遵守社会公德和职业道德，防止一切违纪违法行为的发生，使主合同权利义务履行过程同时成为党风廉洁建设的过程。</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双方建立健全的自我制约制度，开展廉洁教育，监督并认真查处各自职员的违法违纪行为。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发现对方在经济业务活动中有违反本协议约定的不廉洁行为，有及时提醒和督促对方纠正的权利和义务；情节严重的，均有权向有关部门检举、揭发和控告。</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第二条  </w:t>
      </w:r>
      <w:r>
        <w:rPr>
          <w:rFonts w:hint="eastAsia" w:ascii="宋体" w:hAnsi="宋体" w:cs="宋体"/>
          <w:b/>
          <w:bCs/>
          <w:color w:val="auto"/>
          <w:sz w:val="24"/>
          <w:highlight w:val="none"/>
        </w:rPr>
        <w:t>甲方廉洁义务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甲方，且甲方应教育、督促其职员遵守如下约定：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不得以任何形式向乙方索请、索礼、索贿或报销应由甲方支付的各类费用；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2.不得收受乙方赠送的礼品、礼金、礼券、礼卡和有价证券、股权、其他金融产品等财物；</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不得以明显低于市场的价格向乙方购买商品和物资；</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不得参加由乙方提供经费的旅游或任何类似活动；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不得接受乙方承担费用的可能影响公正执行公务的宴请和娱乐活动；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不得向乙方介绍亲属或亲友从事与甲方工作有关的经济活动或推销物资和商品；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 不得接受乙方提供的公车、住房装修等服务。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eastAsia="zh-CN"/>
        </w:rPr>
        <w:t>.</w:t>
      </w:r>
      <w:r>
        <w:rPr>
          <w:rFonts w:hint="eastAsia" w:ascii="宋体" w:hAnsi="宋体" w:cs="宋体"/>
          <w:color w:val="auto"/>
          <w:sz w:val="24"/>
          <w:highlight w:val="none"/>
        </w:rPr>
        <w:t>不得接受乙方其他任何形式的与业务无关的金钱利益。</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第三条  </w:t>
      </w:r>
      <w:r>
        <w:rPr>
          <w:rFonts w:hint="eastAsia" w:ascii="宋体" w:hAnsi="宋体" w:cs="宋体"/>
          <w:b/>
          <w:bCs/>
          <w:color w:val="auto"/>
          <w:sz w:val="24"/>
          <w:highlight w:val="none"/>
        </w:rPr>
        <w:t>乙方廉洁义务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乙方，且乙方应教育、督促其职员遵守如下约定：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不得向甲方工作人员送礼、行贿或提供应由甲方自己支付的各类费用报销；</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不得违规宴请甲方工作人员或提供其他消费娱乐活动；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不得以明显低于市场的价格向甲方工作人员提供物资和商品；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不得安排甲方工作人员的子女或其他亲属到本单位工作，双方有业务之前已经安排的，则不得因双方业务关系而特别提升职务或提高待遇；</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不得提供资金邀请甲方工作人员和/或其子女、亲属旅游；</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不得为甲方工作人员的子女或亲属购买或提供商品；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不得向甲方工作人员提供公车、住房装修等服务。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不得向甲方提供任何形式的与正当业务往来无关的金钱利益。</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第四条  </w:t>
      </w:r>
      <w:r>
        <w:rPr>
          <w:rFonts w:hint="eastAsia" w:ascii="宋体" w:hAnsi="宋体" w:cs="宋体"/>
          <w:b/>
          <w:bCs/>
          <w:color w:val="auto"/>
          <w:sz w:val="24"/>
          <w:szCs w:val="24"/>
          <w:highlight w:val="none"/>
        </w:rPr>
        <w:t>违约责任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乙方违反本协议约定，由此给甲方造成损失的，应依法予以赔偿。</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甲方违反本协议约定，由此造成乙方损失的，甲方应承担赔偿责任。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color w:val="auto"/>
          <w:highlight w:val="none"/>
        </w:rPr>
      </w:pPr>
      <w:r>
        <w:rPr>
          <w:rFonts w:hint="eastAsia" w:cs="宋体"/>
          <w:color w:val="auto"/>
          <w:sz w:val="24"/>
          <w:szCs w:val="24"/>
          <w:highlight w:val="none"/>
        </w:rPr>
        <w:t>3</w:t>
      </w:r>
      <w:r>
        <w:rPr>
          <w:rFonts w:hint="eastAsia" w:cs="宋体"/>
          <w:color w:val="auto"/>
          <w:sz w:val="24"/>
          <w:szCs w:val="24"/>
          <w:highlight w:val="none"/>
          <w:lang w:val="en-US" w:eastAsia="zh-CN"/>
        </w:rPr>
        <w:t>.</w:t>
      </w:r>
      <w:r>
        <w:rPr>
          <w:rFonts w:hint="eastAsia" w:cs="宋体"/>
          <w:color w:val="auto"/>
          <w:sz w:val="24"/>
          <w:szCs w:val="24"/>
          <w:highlight w:val="none"/>
        </w:rPr>
        <w:t>各方职员违反本协议的，由各方向对方承担违约责任。</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第五条  </w:t>
      </w:r>
      <w:r>
        <w:rPr>
          <w:rFonts w:hint="eastAsia" w:ascii="宋体" w:hAnsi="宋体" w:cs="宋体"/>
          <w:b/>
          <w:bCs/>
          <w:color w:val="auto"/>
          <w:sz w:val="24"/>
          <w:szCs w:val="24"/>
          <w:highlight w:val="none"/>
        </w:rPr>
        <w:t>附则</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本协议作为合同的附件，与主合同具有同等法律效力。经双方签署后立即生效，有效期与主合同一致，在合同有效期内不可撤销。</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color w:val="auto"/>
          <w:sz w:val="24"/>
          <w:highlight w:val="none"/>
        </w:rPr>
      </w:pPr>
      <w:r>
        <w:rPr>
          <w:rFonts w:hint="eastAsia" w:ascii="宋体" w:hAnsi="宋体" w:cs="宋体"/>
          <w:color w:val="auto"/>
          <w:sz w:val="24"/>
          <w:szCs w:val="24"/>
          <w:highlight w:val="none"/>
          <w:lang w:val="en-US" w:eastAsia="zh-CN"/>
        </w:rPr>
        <w:t>2.</w:t>
      </w:r>
      <w:r>
        <w:rPr>
          <w:rFonts w:hint="eastAsia" w:cs="宋体"/>
          <w:color w:val="auto"/>
          <w:sz w:val="24"/>
          <w:szCs w:val="24"/>
          <w:highlight w:val="none"/>
        </w:rPr>
        <w:t>本协议不影响甲乙双方按主合同条</w:t>
      </w:r>
      <w:r>
        <w:rPr>
          <w:rFonts w:hint="eastAsia" w:cs="宋体"/>
          <w:color w:val="auto"/>
          <w:sz w:val="24"/>
          <w:highlight w:val="none"/>
        </w:rPr>
        <w:t>款承担相关责任。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color w:val="auto"/>
          <w:sz w:val="24"/>
          <w:highlight w:val="none"/>
        </w:rPr>
      </w:pPr>
      <w:r>
        <w:rPr>
          <w:rFonts w:hint="eastAsia" w:cs="宋体"/>
          <w:color w:val="auto"/>
          <w:sz w:val="24"/>
          <w:highlight w:val="none"/>
          <w:lang w:val="en-US" w:eastAsia="zh-CN"/>
        </w:rPr>
        <w:t>3.</w:t>
      </w:r>
      <w:r>
        <w:rPr>
          <w:rFonts w:hint="eastAsia" w:cs="宋体"/>
          <w:color w:val="auto"/>
          <w:sz w:val="24"/>
          <w:highlight w:val="none"/>
        </w:rPr>
        <w:t>本协议为主合同的附件，本协议一式肆份，甲方执贰份，乙方执贰份。</w:t>
      </w:r>
    </w:p>
    <w:p>
      <w:pPr>
        <w:pStyle w:val="15"/>
        <w:rPr>
          <w:rFonts w:hint="eastAsia" w:cs="宋体"/>
          <w:color w:val="auto"/>
          <w:sz w:val="24"/>
          <w:highlight w:val="none"/>
        </w:rPr>
      </w:pPr>
    </w:p>
    <w:p>
      <w:pPr>
        <w:rPr>
          <w:color w:val="auto"/>
          <w:highlight w:val="none"/>
        </w:rPr>
      </w:pPr>
    </w:p>
    <w:p>
      <w:pPr>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宋体" w:hAnsi="宋体"/>
          <w:color w:val="auto"/>
          <w:sz w:val="24"/>
          <w:highlight w:val="none"/>
        </w:rPr>
      </w:pPr>
      <w:r>
        <w:rPr>
          <w:rFonts w:hint="eastAsia" w:ascii="宋体" w:hAnsi="宋体"/>
          <w:color w:val="auto"/>
          <w:sz w:val="24"/>
          <w:highlight w:val="none"/>
        </w:rPr>
        <w:t xml:space="preserve">甲方（盖章）：                       乙方（盖章）： </w:t>
      </w:r>
    </w:p>
    <w:p>
      <w:pPr>
        <w:pStyle w:val="15"/>
        <w:rPr>
          <w:rFonts w:hint="eastAsia"/>
          <w:color w:val="auto"/>
          <w:highlight w:val="none"/>
        </w:rPr>
      </w:pPr>
    </w:p>
    <w:p>
      <w:pPr>
        <w:keepNext w:val="0"/>
        <w:keepLines w:val="0"/>
        <w:pageBreakBefore w:val="0"/>
        <w:widowControl w:val="0"/>
        <w:kinsoku/>
        <w:wordWrap/>
        <w:overflowPunct/>
        <w:topLinePunct w:val="0"/>
        <w:autoSpaceDE/>
        <w:autoSpaceDN/>
        <w:bidi w:val="0"/>
        <w:adjustRightInd w:val="0"/>
        <w:snapToGrid w:val="0"/>
        <w:spacing w:before="156" w:beforeLines="50" w:line="560" w:lineRule="exact"/>
        <w:ind w:firstLine="1920" w:firstLineChars="800"/>
        <w:textAlignment w:val="auto"/>
        <w:rPr>
          <w:rFonts w:hint="eastAsia" w:ascii="宋体" w:hAnsi="宋体" w:cs="宋体"/>
          <w:color w:val="auto"/>
          <w:sz w:val="24"/>
          <w:szCs w:val="24"/>
          <w:highlight w:val="none"/>
        </w:rPr>
      </w:pPr>
      <w:r>
        <w:rPr>
          <w:rFonts w:hint="eastAsia" w:ascii="宋体" w:hAnsi="宋体"/>
          <w:color w:val="auto"/>
          <w:sz w:val="24"/>
          <w:highlight w:val="none"/>
        </w:rPr>
        <w:t>签订日期：</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before="156" w:beforeLines="50" w:line="560" w:lineRule="exact"/>
        <w:ind w:left="0" w:leftChars="0" w:firstLine="0" w:firstLineChars="0"/>
        <w:jc w:val="both"/>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t>附件</w:t>
      </w:r>
      <w:r>
        <w:rPr>
          <w:rFonts w:hint="eastAsia" w:asciiTheme="minorEastAsia" w:hAnsiTheme="minorEastAsia" w:eastAsiaTheme="minorEastAsia" w:cstheme="minorEastAsia"/>
          <w:b/>
          <w:bCs/>
          <w:color w:val="auto"/>
          <w:sz w:val="28"/>
          <w:szCs w:val="28"/>
          <w:highlight w:val="none"/>
          <w:lang w:val="en-US" w:eastAsia="zh-CN"/>
        </w:rPr>
        <w:t>3</w:t>
      </w:r>
    </w:p>
    <w:p>
      <w:pPr>
        <w:keepNext w:val="0"/>
        <w:keepLines w:val="0"/>
        <w:pageBreakBefore w:val="0"/>
        <w:widowControl w:val="0"/>
        <w:kinsoku/>
        <w:wordWrap/>
        <w:overflowPunct/>
        <w:topLinePunct w:val="0"/>
        <w:autoSpaceDE/>
        <w:autoSpaceDN/>
        <w:bidi w:val="0"/>
        <w:adjustRightInd w:val="0"/>
        <w:snapToGrid w:val="0"/>
        <w:spacing w:before="156" w:beforeLines="50" w:line="560" w:lineRule="exact"/>
        <w:ind w:left="0" w:leftChars="0" w:firstLine="0" w:firstLineChars="0"/>
        <w:jc w:val="center"/>
        <w:textAlignment w:val="auto"/>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合规承诺函</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为配合宁波油港轮驳有限公司的合规管理要求，规范本公司市场交易行为，促进公平、公正交易，本公司特作出以下承诺：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1.本公司理解宁波油港轮驳有限公司合规管理需求，在合作范围内遵守宁波油港轮驳有限公司对第三方的合规管理要求。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2.本公司具有</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订立的主体资格，具有良好的资信和履约能力，能够有效履行</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3.本公司严格遵守国家法律法规，恪守商业道德和职业道德规范，决不从事并抵制任何不廉洁行为，严格履行以下合规义务：</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（1）本公司员工严格遵守《中华人民共和国反不正当竞争法》等有关商业贿赂行为的禁止性规定，坚决抵制商业贿赂；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（2）本公司员工不得给予宁波油港轮驳有限公司及相关单位或个人的任何不正当馈赠；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（3）本公司员工不得接受宁波油港轮驳有限公司及相关单位或个人的任何不正当馈赠；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（4）本公司员工不得参加宁波油港轮驳有限公司及有关单位安排的可能影响公正执行公务的宴请、旅游、考察等活动；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（5）本公司员工不得从事其他可能影响廉洁商业的行为。</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4.本公司坚持诚信商业行为，依法依约保守宁波油港轮驳有限公司的商业秘密。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5.本公司严守缔约精神，全面履行</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义务，不擅自变更、中止以及不履行</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，发生履约突发事件时将当及时通知宁波油港轮驳有限公司。</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6.本公司同意在</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目的范围内配合宁波油港轮驳有限公司的合规检查，不得隐瞒可能造成宁波油港轮驳有限公司利益受损的信息。</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7.本公司承诺对本承诺书执行情况进行监督检查，本公司及员工未遵守承诺事项，本公司承诺自愿赔偿由此给宁波油港轮驳有限公司造成的损失，或按相关</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约定承担违约责任，且宁波油港轮驳有限公司有权终止相关</w:t>
      </w:r>
      <w:r>
        <w:rPr>
          <w:rFonts w:hint="eastAsia" w:ascii="宋体" w:hAnsi="宋体" w:cs="宋体"/>
          <w:color w:val="auto"/>
          <w:sz w:val="24"/>
          <w:highlight w:val="none"/>
          <w:lang w:val="en-US" w:eastAsia="zh-CN"/>
        </w:rPr>
        <w:t>协议</w:t>
      </w:r>
      <w:r>
        <w:rPr>
          <w:rFonts w:hint="eastAsia" w:ascii="宋体" w:hAnsi="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本承诺函</w:t>
      </w:r>
      <w:r>
        <w:rPr>
          <w:rFonts w:hint="eastAsia" w:ascii="宋体" w:hAnsi="宋体" w:cs="宋体"/>
          <w:color w:val="auto"/>
          <w:sz w:val="24"/>
          <w:szCs w:val="24"/>
          <w:highlight w:val="none"/>
        </w:rPr>
        <w:t>一式肆份，</w:t>
      </w:r>
      <w:r>
        <w:rPr>
          <w:rFonts w:hint="eastAsia" w:ascii="宋体" w:hAnsi="宋体" w:cs="宋体"/>
          <w:color w:val="auto"/>
          <w:sz w:val="24"/>
          <w:highlight w:val="none"/>
        </w:rPr>
        <w:t>经承诺</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盖章后生效，由承诺</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和宁波油港轮驳有限公司各保留</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份。</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spacing w:line="560" w:lineRule="exact"/>
        <w:ind w:firstLine="3840" w:firstLineChars="1600"/>
        <w:textAlignment w:val="auto"/>
        <w:rPr>
          <w:rFonts w:hint="eastAsia" w:ascii="宋体" w:hAnsi="宋体" w:cs="宋体"/>
          <w:color w:val="auto"/>
          <w:sz w:val="24"/>
          <w:highlight w:val="none"/>
        </w:rPr>
      </w:pPr>
      <w:r>
        <w:rPr>
          <w:rFonts w:hint="eastAsia" w:ascii="宋体" w:hAnsi="宋体" w:cs="宋体"/>
          <w:color w:val="auto"/>
          <w:sz w:val="24"/>
          <w:highlight w:val="none"/>
        </w:rPr>
        <w:t>承诺</w:t>
      </w: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cs="宋体"/>
          <w:color w:val="auto"/>
          <w:sz w:val="24"/>
          <w:highlight w:val="none"/>
        </w:rPr>
      </w:pPr>
    </w:p>
    <w:p>
      <w:pPr>
        <w:pStyle w:val="15"/>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日期：    年   月   日</w:t>
      </w:r>
    </w:p>
    <w:p>
      <w:pPr>
        <w:rPr>
          <w:rFonts w:hint="eastAsia" w:ascii="宋体" w:hAnsi="宋体" w:cs="宋体"/>
          <w:color w:val="auto"/>
          <w:sz w:val="24"/>
          <w:highlight w:val="none"/>
        </w:rPr>
      </w:pPr>
      <w:r>
        <w:rPr>
          <w:rFonts w:hint="eastAsia" w:ascii="宋体" w:hAnsi="宋体" w:cs="宋体"/>
          <w:color w:val="auto"/>
          <w:sz w:val="24"/>
          <w:highlight w:val="none"/>
        </w:rPr>
        <w:br w:type="page"/>
      </w:r>
    </w:p>
    <w:p>
      <w:pPr>
        <w:pStyle w:val="15"/>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Theme="minorEastAsia" w:hAnsiTheme="minorEastAsia" w:eastAsiaTheme="minorEastAsia" w:cstheme="minorEastAsia"/>
          <w:b/>
          <w:bCs/>
          <w:color w:val="auto"/>
          <w:spacing w:val="0"/>
          <w:kern w:val="2"/>
          <w:sz w:val="28"/>
          <w:szCs w:val="28"/>
          <w:highlight w:val="none"/>
          <w:lang w:val="en-US" w:eastAsia="zh-CN" w:bidi="ar-SA"/>
        </w:rPr>
      </w:pPr>
      <w:r>
        <w:rPr>
          <w:rFonts w:hint="eastAsia" w:asciiTheme="minorEastAsia" w:hAnsiTheme="minorEastAsia" w:eastAsiaTheme="minorEastAsia" w:cstheme="minorEastAsia"/>
          <w:b/>
          <w:bCs/>
          <w:color w:val="auto"/>
          <w:spacing w:val="0"/>
          <w:kern w:val="2"/>
          <w:sz w:val="28"/>
          <w:szCs w:val="28"/>
          <w:highlight w:val="none"/>
          <w:lang w:val="en-US" w:eastAsia="zh-CN" w:bidi="ar-SA"/>
        </w:rPr>
        <w:t>附件4</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甬港拖</w:t>
      </w: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”轮修理工程报价单</w:t>
      </w:r>
      <w:bookmarkEnd w:id="39"/>
      <w:bookmarkEnd w:id="40"/>
      <w:bookmarkStart w:id="42" w:name="_Toc13179"/>
      <w:bookmarkStart w:id="43" w:name="_Toc7828"/>
      <w:bookmarkStart w:id="44" w:name="_Toc317116872"/>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pPr>
        <w:pStyle w:val="3"/>
        <w:keepNext w:val="0"/>
        <w:keepLines w:val="0"/>
        <w:pageBreakBefore w:val="0"/>
        <w:widowControl w:val="0"/>
        <w:numPr>
          <w:ilvl w:val="0"/>
          <w:numId w:val="0"/>
        </w:numPr>
        <w:kinsoku/>
        <w:wordWrap/>
        <w:overflowPunct/>
        <w:topLinePunct w:val="0"/>
        <w:autoSpaceDE/>
        <w:autoSpaceDN/>
        <w:bidi w:val="0"/>
        <w:adjustRightInd/>
        <w:jc w:val="center"/>
        <w:textAlignment w:val="auto"/>
        <w:rPr>
          <w:rFonts w:hint="default" w:ascii="Times New Roman" w:hAnsi="Times New Roman" w:eastAsia="宋体" w:cs="Times New Roman"/>
          <w:b/>
          <w:bCs/>
          <w:color w:val="auto"/>
          <w:kern w:val="44"/>
          <w:sz w:val="30"/>
          <w:szCs w:val="44"/>
          <w:highlight w:val="none"/>
          <w:lang w:val="en-US" w:eastAsia="zh-CN" w:bidi="ar-SA"/>
        </w:rPr>
      </w:pPr>
      <w:r>
        <w:rPr>
          <w:rFonts w:hint="default" w:ascii="Times New Roman" w:hAnsi="Times New Roman" w:eastAsia="宋体" w:cs="Times New Roman"/>
          <w:b/>
          <w:bCs/>
          <w:color w:val="auto"/>
          <w:kern w:val="44"/>
          <w:sz w:val="30"/>
          <w:szCs w:val="44"/>
          <w:highlight w:val="none"/>
          <w:lang w:val="en-US" w:eastAsia="zh-CN" w:bidi="ar-SA"/>
        </w:rPr>
        <w:t>第</w:t>
      </w:r>
      <w:r>
        <w:rPr>
          <w:rFonts w:hint="eastAsia" w:ascii="Times New Roman" w:hAnsi="Times New Roman" w:eastAsia="宋体" w:cs="Times New Roman"/>
          <w:b/>
          <w:bCs/>
          <w:color w:val="auto"/>
          <w:kern w:val="44"/>
          <w:sz w:val="30"/>
          <w:szCs w:val="44"/>
          <w:highlight w:val="none"/>
          <w:lang w:val="en-US" w:eastAsia="zh-CN" w:bidi="ar-SA"/>
        </w:rPr>
        <w:t>六</w:t>
      </w:r>
      <w:r>
        <w:rPr>
          <w:rFonts w:hint="default" w:ascii="Times New Roman" w:hAnsi="Times New Roman" w:eastAsia="宋体" w:cs="Times New Roman"/>
          <w:b/>
          <w:bCs/>
          <w:color w:val="auto"/>
          <w:kern w:val="44"/>
          <w:sz w:val="30"/>
          <w:szCs w:val="44"/>
          <w:highlight w:val="none"/>
          <w:lang w:val="en-US" w:eastAsia="zh-CN" w:bidi="ar-SA"/>
        </w:rPr>
        <w:t>章  投标文件格式</w:t>
      </w:r>
      <w:bookmarkEnd w:id="42"/>
      <w:bookmarkEnd w:id="43"/>
      <w:bookmarkEnd w:id="44"/>
    </w:p>
    <w:p>
      <w:pPr>
        <w:pStyle w:val="4"/>
        <w:pageBreakBefore w:val="0"/>
        <w:kinsoku/>
        <w:wordWrap/>
        <w:overflowPunct/>
        <w:topLinePunct w:val="0"/>
        <w:bidi w:val="0"/>
        <w:spacing w:line="360" w:lineRule="auto"/>
        <w:textAlignment w:val="auto"/>
        <w:rPr>
          <w:rFonts w:hint="default"/>
          <w:color w:val="auto"/>
          <w:highlight w:val="none"/>
        </w:rPr>
      </w:pPr>
      <w:r>
        <w:rPr>
          <w:rFonts w:hint="default"/>
          <w:color w:val="auto"/>
          <w:highlight w:val="none"/>
        </w:rPr>
        <w:t>1.</w:t>
      </w:r>
      <w:r>
        <w:rPr>
          <w:rFonts w:hint="default"/>
          <w:color w:val="auto"/>
          <w:highlight w:val="none"/>
          <w:lang w:val="en-US" w:eastAsia="zh-CN"/>
        </w:rPr>
        <w:t xml:space="preserve"> </w:t>
      </w:r>
      <w:r>
        <w:rPr>
          <w:rFonts w:hint="default"/>
          <w:color w:val="auto"/>
          <w:highlight w:val="none"/>
        </w:rPr>
        <w:t>投标文件目录：未提供格式部分由投标人自拟</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（一）投标文件目录：未提供格式部分由投标人自拟</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投标文件分为价格标、商务技术标、资审文件三部分</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其内容分别为：</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第一部分：</w:t>
      </w:r>
      <w:r>
        <w:rPr>
          <w:rFonts w:hint="default" w:ascii="Times New Roman" w:hAnsi="Times New Roman" w:cs="Times New Roman"/>
          <w:color w:val="auto"/>
          <w:szCs w:val="21"/>
          <w:highlight w:val="none"/>
        </w:rPr>
        <w:t>价格标</w:t>
      </w:r>
    </w:p>
    <w:p>
      <w:pPr>
        <w:pageBreakBefore w:val="0"/>
        <w:numPr>
          <w:ilvl w:val="0"/>
          <w:numId w:val="2"/>
        </w:numPr>
        <w:kinsoku/>
        <w:wordWrap/>
        <w:overflowPunct/>
        <w:topLinePunct w:val="0"/>
        <w:bidi w:val="0"/>
        <w:spacing w:line="360" w:lineRule="auto"/>
        <w:ind w:firstLine="420" w:firstLineChars="200"/>
        <w:textAlignment w:val="auto"/>
        <w:rPr>
          <w:rFonts w:hint="eastAsia"/>
          <w:color w:val="auto"/>
          <w:highlight w:val="none"/>
          <w:lang w:val="en-US" w:eastAsia="zh-CN"/>
        </w:rPr>
      </w:pPr>
      <w:r>
        <w:rPr>
          <w:rFonts w:hint="default" w:ascii="Times New Roman" w:hAnsi="Times New Roman" w:cs="Times New Roman"/>
          <w:color w:val="auto"/>
          <w:highlight w:val="none"/>
          <w:lang w:val="zh-CN"/>
        </w:rPr>
        <w:t>投标函（格式见附件）；</w:t>
      </w:r>
    </w:p>
    <w:p>
      <w:pPr>
        <w:pageBreakBefore w:val="0"/>
        <w:numPr>
          <w:ilvl w:val="0"/>
          <w:numId w:val="2"/>
        </w:numPr>
        <w:kinsoku/>
        <w:wordWrap/>
        <w:overflowPunct/>
        <w:topLinePunct w:val="0"/>
        <w:bidi w:val="0"/>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开标一览表（格式见附件）；</w:t>
      </w:r>
    </w:p>
    <w:p>
      <w:pPr>
        <w:pStyle w:val="15"/>
        <w:pageBreakBefore w:val="0"/>
        <w:numPr>
          <w:ilvl w:val="0"/>
          <w:numId w:val="0"/>
        </w:numPr>
        <w:kinsoku/>
        <w:wordWrap/>
        <w:overflowPunct/>
        <w:topLinePunct w:val="0"/>
        <w:bidi w:val="0"/>
        <w:spacing w:line="360" w:lineRule="auto"/>
        <w:ind w:firstLine="42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lang w:val="zh-CN"/>
        </w:rPr>
        <w:t>）报价明细表（格式</w:t>
      </w:r>
      <w:r>
        <w:rPr>
          <w:rFonts w:hint="eastAsia" w:ascii="Times New Roman" w:hAnsi="Times New Roman" w:cs="Times New Roman"/>
          <w:color w:val="auto"/>
          <w:highlight w:val="none"/>
          <w:lang w:val="en-US" w:eastAsia="zh-CN"/>
        </w:rPr>
        <w:t>自拟</w:t>
      </w:r>
      <w:r>
        <w:rPr>
          <w:rFonts w:hint="default" w:ascii="Times New Roman" w:hAnsi="Times New Roman" w:cs="Times New Roman"/>
          <w:color w:val="auto"/>
          <w:highlight w:val="none"/>
          <w:lang w:val="zh-CN"/>
        </w:rPr>
        <w:t>）；</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lang w:val="zh-CN"/>
        </w:rPr>
        <w:t>）投标人针对报价需要说明的其他文件和说明（格式自拟）。</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第二部分：</w:t>
      </w:r>
      <w:r>
        <w:rPr>
          <w:rFonts w:hint="default" w:ascii="Times New Roman" w:hAnsi="Times New Roman" w:cs="Times New Roman"/>
          <w:color w:val="auto"/>
          <w:szCs w:val="21"/>
          <w:highlight w:val="none"/>
        </w:rPr>
        <w:t>商务技术标</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（1）商务响应表（格式见附件）；</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 xml:space="preserve">（2）技术响应表（格式见附件）； </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3</w:t>
      </w:r>
      <w:r>
        <w:rPr>
          <w:rFonts w:hint="default" w:ascii="Times New Roman" w:hAnsi="Times New Roman" w:cs="Times New Roman"/>
          <w:color w:val="auto"/>
          <w:highlight w:val="none"/>
          <w:lang w:val="zh-CN"/>
        </w:rPr>
        <w:t>）业绩；</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4</w:t>
      </w:r>
      <w:r>
        <w:rPr>
          <w:rFonts w:hint="default" w:ascii="Times New Roman" w:hAnsi="Times New Roman" w:cs="Times New Roman"/>
          <w:color w:val="auto"/>
          <w:highlight w:val="none"/>
          <w:lang w:val="zh-CN"/>
        </w:rPr>
        <w:t>）售后服务措施；</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5</w:t>
      </w:r>
      <w:r>
        <w:rPr>
          <w:rFonts w:hint="default" w:ascii="Times New Roman" w:hAnsi="Times New Roman" w:cs="Times New Roman"/>
          <w:color w:val="auto"/>
          <w:highlight w:val="none"/>
          <w:lang w:val="zh-CN"/>
        </w:rPr>
        <w:t>）商务技术标评审所涉及的其他资料（</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6</w:t>
      </w:r>
      <w:r>
        <w:rPr>
          <w:rFonts w:hint="default" w:ascii="Times New Roman" w:hAnsi="Times New Roman" w:cs="Times New Roman"/>
          <w:color w:val="auto"/>
          <w:highlight w:val="none"/>
          <w:lang w:val="zh-CN"/>
        </w:rPr>
        <w:t>）投标人需要特别说明的其他文件（</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第三部分：</w:t>
      </w:r>
      <w:r>
        <w:rPr>
          <w:rFonts w:hint="default" w:ascii="Times New Roman" w:hAnsi="Times New Roman" w:cs="Times New Roman"/>
          <w:color w:val="auto"/>
          <w:szCs w:val="21"/>
          <w:highlight w:val="none"/>
        </w:rPr>
        <w:t>资审文件</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（1）法定代表人资格证明书或法定代表人授权委托书（格式见附件）；</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（2）有效的营业执照扫描件；</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（3）投标人资格声明函（格式见附件）</w:t>
      </w:r>
      <w:r>
        <w:rPr>
          <w:rFonts w:hint="eastAsia" w:cs="Times New Roman"/>
          <w:color w:val="auto"/>
          <w:highlight w:val="none"/>
          <w:lang w:val="zh-CN"/>
        </w:rPr>
        <w:t>；</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（4）投标人基本情况表（格式见附件）；</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（5）投标保证金缴纳凭证；</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6</w:t>
      </w:r>
      <w:r>
        <w:rPr>
          <w:rFonts w:hint="default" w:ascii="Times New Roman" w:hAnsi="Times New Roman" w:cs="Times New Roman"/>
          <w:color w:val="auto"/>
          <w:highlight w:val="none"/>
          <w:lang w:val="zh-CN"/>
        </w:rPr>
        <w:t>）</w:t>
      </w:r>
      <w:r>
        <w:rPr>
          <w:rFonts w:hint="default" w:ascii="Times New Roman" w:hAnsi="Times New Roman" w:cs="Times New Roman"/>
          <w:color w:val="auto"/>
          <w:highlight w:val="none"/>
        </w:rPr>
        <w:t>合格投标人的资格要求</w:t>
      </w:r>
      <w:r>
        <w:rPr>
          <w:rFonts w:hint="default" w:ascii="Times New Roman" w:hAnsi="Times New Roman" w:cs="Times New Roman"/>
          <w:color w:val="auto"/>
          <w:highlight w:val="none"/>
          <w:lang w:val="en-US" w:eastAsia="zh-CN"/>
        </w:rPr>
        <w:t>业绩</w:t>
      </w:r>
      <w:r>
        <w:rPr>
          <w:rFonts w:hint="default" w:ascii="Times New Roman" w:hAnsi="Times New Roman" w:cs="Times New Roman"/>
          <w:color w:val="auto"/>
          <w:highlight w:val="none"/>
          <w:lang w:val="zh-CN"/>
        </w:rPr>
        <w:t>证明材料；（</w:t>
      </w:r>
      <w:r>
        <w:rPr>
          <w:rFonts w:hint="default" w:ascii="Times New Roman" w:hAnsi="Times New Roman" w:cs="Times New Roman"/>
          <w:color w:val="auto"/>
          <w:highlight w:val="none"/>
          <w:lang w:val="en-US" w:eastAsia="zh-CN"/>
        </w:rPr>
        <w:t>若</w:t>
      </w:r>
      <w:r>
        <w:rPr>
          <w:rFonts w:hint="eastAsia" w:cs="Times New Roman"/>
          <w:color w:val="auto"/>
          <w:highlight w:val="none"/>
          <w:lang w:val="en-US" w:eastAsia="zh-CN"/>
        </w:rPr>
        <w:t>需要</w:t>
      </w:r>
      <w:r>
        <w:rPr>
          <w:rFonts w:hint="default" w:ascii="Times New Roman" w:hAnsi="Times New Roman" w:cs="Times New Roman"/>
          <w:color w:val="auto"/>
          <w:highlight w:val="none"/>
          <w:lang w:val="zh-CN"/>
        </w:rPr>
        <w:t>）</w:t>
      </w:r>
    </w:p>
    <w:p>
      <w:pPr>
        <w:pStyle w:val="30"/>
        <w:pageBreakBefore w:val="0"/>
        <w:kinsoku/>
        <w:wordWrap/>
        <w:overflowPunct/>
        <w:topLinePunct w:val="0"/>
        <w:bidi w:val="0"/>
        <w:spacing w:line="360" w:lineRule="auto"/>
        <w:textAlignment w:val="auto"/>
        <w:rPr>
          <w:rFonts w:hint="default" w:eastAsia="宋体"/>
          <w:color w:val="auto"/>
          <w:highlight w:val="none"/>
          <w:lang w:val="en-US" w:eastAsia="zh-CN"/>
        </w:rPr>
      </w:pPr>
      <w:r>
        <w:rPr>
          <w:rFonts w:hint="eastAsia"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7</w:t>
      </w:r>
      <w:r>
        <w:rPr>
          <w:rFonts w:hint="eastAsia" w:ascii="Times New Roman" w:hAnsi="Times New Roman" w:cs="Times New Roman"/>
          <w:color w:val="auto"/>
          <w:highlight w:val="none"/>
          <w:lang w:val="zh-CN"/>
        </w:rPr>
        <w:t>）</w:t>
      </w:r>
      <w:r>
        <w:rPr>
          <w:rFonts w:hint="eastAsia" w:ascii="Times New Roman" w:hAnsi="Times New Roman" w:cs="Times New Roman"/>
          <w:color w:val="auto"/>
          <w:highlight w:val="none"/>
          <w:lang w:val="en-US" w:eastAsia="zh-CN"/>
        </w:rPr>
        <w:t>信用中国截图</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t>（</w:t>
      </w:r>
      <w:r>
        <w:rPr>
          <w:rFonts w:hint="eastAsia" w:cs="Times New Roman"/>
          <w:color w:val="auto"/>
          <w:highlight w:val="none"/>
          <w:lang w:val="en-US" w:eastAsia="zh-CN"/>
        </w:rPr>
        <w:t>8</w:t>
      </w:r>
      <w:r>
        <w:rPr>
          <w:rFonts w:hint="default" w:ascii="Times New Roman" w:hAnsi="Times New Roman" w:cs="Times New Roman"/>
          <w:color w:val="auto"/>
          <w:highlight w:val="none"/>
          <w:lang w:val="zh-CN"/>
        </w:rPr>
        <w:t>）招标文件要求的或投标人认为有必要提供的其他情况说明或资质证书。</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val="zh-CN"/>
        </w:rPr>
        <w:t>注：以上投标资料所要求为扫描件，均须加盖公章。中标后招标人</w:t>
      </w:r>
      <w:r>
        <w:rPr>
          <w:rFonts w:hint="eastAsia" w:cs="Times New Roman"/>
          <w:color w:val="auto"/>
          <w:highlight w:val="none"/>
          <w:lang w:val="en-US" w:eastAsia="zh-CN"/>
        </w:rPr>
        <w:t>有权</w:t>
      </w:r>
      <w:r>
        <w:rPr>
          <w:rFonts w:hint="default" w:ascii="Times New Roman" w:hAnsi="Times New Roman" w:cs="Times New Roman"/>
          <w:color w:val="auto"/>
          <w:highlight w:val="none"/>
          <w:lang w:val="zh-CN"/>
        </w:rPr>
        <w:t>对中标单位相关资料进行原件核实，若有虚假，则取消中标资格，并追究相应责任。</w:t>
      </w:r>
    </w:p>
    <w:p>
      <w:pPr>
        <w:pageBreakBefore w:val="0"/>
        <w:kinsoku/>
        <w:wordWrap/>
        <w:overflowPunct/>
        <w:topLinePunct w:val="0"/>
        <w:bidi w:val="0"/>
        <w:snapToGrid w:val="0"/>
        <w:spacing w:line="360" w:lineRule="auto"/>
        <w:ind w:firstLine="420" w:firstLineChars="200"/>
        <w:jc w:val="left"/>
        <w:textAlignment w:val="auto"/>
        <w:rPr>
          <w:rFonts w:hint="default" w:ascii="Times New Roman" w:hAnsi="Times New Roman" w:cs="Times New Roman"/>
          <w:color w:val="auto"/>
          <w:szCs w:val="21"/>
          <w:highlight w:val="none"/>
        </w:rPr>
      </w:pPr>
    </w:p>
    <w:p>
      <w:pPr>
        <w:pStyle w:val="4"/>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第一部分：价格标</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 </w:t>
      </w:r>
      <w:r>
        <w:rPr>
          <w:rFonts w:hint="default" w:ascii="Times New Roman" w:hAnsi="Times New Roman" w:cs="Times New Roman"/>
          <w:color w:val="auto"/>
          <w:highlight w:val="none"/>
        </w:rPr>
        <w:t>投标函</w:t>
      </w:r>
    </w:p>
    <w:p>
      <w:pPr>
        <w:pageBreakBefore w:val="0"/>
        <w:kinsoku/>
        <w:wordWrap/>
        <w:overflowPunct/>
        <w:topLinePunct w:val="0"/>
        <w:bidi w:val="0"/>
        <w:snapToGrid w:val="0"/>
        <w:spacing w:before="156" w:beforeLines="50" w:after="50" w:line="360" w:lineRule="auto"/>
        <w:ind w:firstLine="422"/>
        <w:jc w:val="center"/>
        <w:textAlignment w:val="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投标函</w:t>
      </w:r>
    </w:p>
    <w:p>
      <w:pPr>
        <w:pageBreakBefore w:val="0"/>
        <w:kinsoku/>
        <w:wordWrap/>
        <w:overflowPunct/>
        <w:topLinePunct w:val="0"/>
        <w:bidi w:val="0"/>
        <w:snapToGrid w:val="0"/>
        <w:spacing w:line="360" w:lineRule="auto"/>
        <w:textAlignment w:val="auto"/>
        <w:rPr>
          <w:rFonts w:ascii="宋体" w:hAnsi="宋体"/>
          <w:color w:val="auto"/>
          <w:szCs w:val="21"/>
          <w:highlight w:val="non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hint="eastAsia" w:ascii="宋体" w:hAnsi="宋体"/>
          <w:color w:val="auto"/>
          <w:szCs w:val="21"/>
          <w:highlight w:val="none"/>
        </w:rPr>
        <w:t>（招标单位名称）：</w:t>
      </w:r>
    </w:p>
    <w:p>
      <w:pPr>
        <w:pageBreakBefore w:val="0"/>
        <w:kinsoku/>
        <w:wordWrap/>
        <w:overflowPunct/>
        <w:topLinePunct w:val="0"/>
        <w:bidi w:val="0"/>
        <w:spacing w:line="360" w:lineRule="auto"/>
        <w:ind w:firstLine="422"/>
        <w:textAlignment w:val="auto"/>
        <w:rPr>
          <w:rFonts w:ascii="宋体" w:hAnsi="宋体" w:eastAsia="宋体" w:cs="Times New Roman"/>
          <w:color w:val="auto"/>
          <w:szCs w:val="21"/>
          <w:highlight w:val="none"/>
        </w:rPr>
      </w:pPr>
      <w:r>
        <w:rPr>
          <w:rFonts w:hint="eastAsia" w:ascii="Times New Roman" w:hAnsi="Times New Roman" w:eastAsia="宋体" w:cs="Times New Roman"/>
          <w:b/>
          <w:bCs/>
          <w:color w:val="auto"/>
          <w:highlight w:val="none"/>
        </w:rPr>
        <w:t>根据贵方</w:t>
      </w:r>
      <w:r>
        <w:rPr>
          <w:rFonts w:hint="eastAsia"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u w:val="single"/>
          <w:lang w:eastAsia="zh-CN"/>
        </w:rPr>
        <w:t>（</w:t>
      </w:r>
      <w:r>
        <w:rPr>
          <w:rFonts w:hint="eastAsia" w:ascii="Times New Roman" w:hAnsi="Times New Roman" w:eastAsia="宋体" w:cs="Times New Roman"/>
          <w:color w:val="auto"/>
          <w:highlight w:val="none"/>
          <w:u w:val="single"/>
          <w:lang w:val="en-US" w:eastAsia="zh-CN"/>
        </w:rPr>
        <w:t>项目名称</w:t>
      </w:r>
      <w:r>
        <w:rPr>
          <w:rFonts w:hint="eastAsia" w:ascii="Times New Roman" w:hAnsi="Times New Roman" w:eastAsia="宋体" w:cs="Times New Roman"/>
          <w:color w:val="auto"/>
          <w:highlight w:val="none"/>
          <w:u w:val="single"/>
          <w:lang w:eastAsia="zh-CN"/>
        </w:rPr>
        <w:t>）</w:t>
      </w:r>
      <w:r>
        <w:rPr>
          <w:rFonts w:hint="eastAsia" w:ascii="Times New Roman" w:hAnsi="Times New Roman" w:eastAsia="宋体" w:cs="Times New Roman"/>
          <w:color w:val="auto"/>
          <w:highlight w:val="none"/>
          <w:u w:val="single"/>
          <w:lang w:val="en-US" w:eastAsia="zh-CN"/>
        </w:rPr>
        <w:t xml:space="preserve">    </w:t>
      </w:r>
      <w:r>
        <w:rPr>
          <w:rFonts w:hint="eastAsia" w:ascii="Times New Roman" w:hAnsi="Times New Roman" w:eastAsia="宋体" w:cs="Times New Roman"/>
          <w:color w:val="auto"/>
          <w:highlight w:val="none"/>
          <w:u w:val="single"/>
        </w:rPr>
        <w:t xml:space="preserve"> </w:t>
      </w:r>
      <w:r>
        <w:rPr>
          <w:rFonts w:hint="eastAsia" w:ascii="Times New Roman" w:hAnsi="Times New Roman" w:eastAsia="宋体" w:cs="Times New Roman"/>
          <w:b/>
          <w:bCs/>
          <w:color w:val="auto"/>
          <w:highlight w:val="none"/>
        </w:rPr>
        <w:t>的招标公告</w:t>
      </w:r>
      <w:r>
        <w:rPr>
          <w:rFonts w:hint="eastAsia" w:ascii="宋体" w:hAnsi="宋体" w:eastAsia="宋体" w:cs="Times New Roman"/>
          <w:b/>
          <w:color w:val="auto"/>
          <w:szCs w:val="21"/>
          <w:highlight w:val="none"/>
        </w:rPr>
        <w:t>（项目编号：</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w:t>
      </w:r>
      <w:r>
        <w:rPr>
          <w:rFonts w:hint="eastAsia" w:ascii="宋体" w:hAnsi="宋体" w:eastAsia="宋体" w:cs="Times New Roman"/>
          <w:color w:val="auto"/>
          <w:szCs w:val="21"/>
          <w:highlight w:val="none"/>
        </w:rPr>
        <w:t>我方递交投标文件。</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据此函，签字代表宣布同意如下：</w:t>
      </w:r>
    </w:p>
    <w:p>
      <w:pPr>
        <w:pageBreakBefore w:val="0"/>
        <w:numPr>
          <w:ilvl w:val="0"/>
          <w:numId w:val="0"/>
        </w:numPr>
        <w:kinsoku/>
        <w:wordWrap/>
        <w:overflowPunct/>
        <w:topLinePunct w:val="0"/>
        <w:bidi w:val="0"/>
        <w:spacing w:line="360" w:lineRule="auto"/>
        <w:ind w:firstLine="420" w:firstLineChars="200"/>
        <w:textAlignment w:val="auto"/>
        <w:rPr>
          <w:rFonts w:hint="eastAsia" w:cs="Times New Roman"/>
          <w:color w:val="auto"/>
          <w:highlight w:val="none"/>
          <w:lang w:eastAsia="zh-CN"/>
        </w:rPr>
      </w:pPr>
      <w:r>
        <w:rPr>
          <w:rFonts w:hint="eastAsia" w:cs="Times New Roman"/>
          <w:color w:val="auto"/>
          <w:highlight w:val="none"/>
          <w:lang w:val="en-US" w:eastAsia="zh-CN"/>
        </w:rPr>
        <w:t>1.</w:t>
      </w:r>
      <w:r>
        <w:rPr>
          <w:rFonts w:hint="default" w:ascii="Times New Roman" w:hAnsi="Times New Roman" w:cs="Times New Roman"/>
          <w:color w:val="auto"/>
          <w:highlight w:val="none"/>
        </w:rPr>
        <w:t>提供</w:t>
      </w:r>
      <w:r>
        <w:rPr>
          <w:rFonts w:hint="eastAsia" w:cs="Times New Roman"/>
          <w:color w:val="auto"/>
          <w:highlight w:val="none"/>
          <w:lang w:val="en-US" w:eastAsia="zh-CN"/>
        </w:rPr>
        <w:t>投标</w:t>
      </w:r>
      <w:r>
        <w:rPr>
          <w:rFonts w:hint="default" w:ascii="Times New Roman" w:hAnsi="Times New Roman" w:cs="Times New Roman"/>
          <w:color w:val="auto"/>
          <w:highlight w:val="none"/>
        </w:rPr>
        <w:t>须知规定的全部</w:t>
      </w:r>
      <w:r>
        <w:rPr>
          <w:rFonts w:hint="eastAsia" w:cs="Times New Roman"/>
          <w:color w:val="auto"/>
          <w:highlight w:val="none"/>
          <w:lang w:val="en-US" w:eastAsia="zh-CN"/>
        </w:rPr>
        <w:t>投标</w:t>
      </w:r>
      <w:r>
        <w:rPr>
          <w:rFonts w:hint="default" w:ascii="Times New Roman" w:hAnsi="Times New Roman" w:cs="Times New Roman"/>
          <w:color w:val="auto"/>
          <w:highlight w:val="none"/>
        </w:rPr>
        <w:t>文件</w:t>
      </w:r>
      <w:r>
        <w:rPr>
          <w:rFonts w:hint="eastAsia" w:cs="Times New Roman"/>
          <w:color w:val="auto"/>
          <w:highlight w:val="none"/>
          <w:lang w:eastAsia="zh-CN"/>
        </w:rPr>
        <w:t>。</w:t>
      </w:r>
    </w:p>
    <w:p>
      <w:pPr>
        <w:pStyle w:val="15"/>
        <w:pageBreakBefore w:val="0"/>
        <w:numPr>
          <w:ilvl w:val="0"/>
          <w:numId w:val="0"/>
        </w:numPr>
        <w:kinsoku/>
        <w:wordWrap/>
        <w:overflowPunct/>
        <w:topLinePunct w:val="0"/>
        <w:bidi w:val="0"/>
        <w:spacing w:line="360" w:lineRule="auto"/>
        <w:textAlignment w:val="auto"/>
        <w:rPr>
          <w:rFonts w:hint="default"/>
          <w:color w:val="auto"/>
          <w:highlight w:val="none"/>
          <w:lang w:val="en-US" w:eastAsia="zh-CN"/>
        </w:rPr>
      </w:pPr>
      <w:r>
        <w:rPr>
          <w:rFonts w:hint="eastAsia"/>
          <w:color w:val="auto"/>
          <w:highlight w:val="none"/>
          <w:lang w:val="en-US" w:eastAsia="zh-CN"/>
        </w:rPr>
        <w:t xml:space="preserve">    2.</w:t>
      </w:r>
      <w:r>
        <w:rPr>
          <w:rFonts w:hint="eastAsia"/>
          <w:color w:val="auto"/>
          <w:highlight w:val="none"/>
        </w:rPr>
        <w:t>除在投标文件中明确提出的差异外，</w:t>
      </w:r>
      <w:r>
        <w:rPr>
          <w:rFonts w:hint="eastAsia"/>
          <w:color w:val="auto"/>
          <w:highlight w:val="none"/>
          <w:lang w:val="en-US" w:eastAsia="zh-CN"/>
        </w:rPr>
        <w:t>投标人</w:t>
      </w:r>
      <w:r>
        <w:rPr>
          <w:rFonts w:hint="eastAsia"/>
          <w:color w:val="auto"/>
          <w:highlight w:val="none"/>
        </w:rPr>
        <w:t>对招标文件的全部内容</w:t>
      </w:r>
      <w:r>
        <w:rPr>
          <w:rFonts w:hint="eastAsia"/>
          <w:color w:val="auto"/>
          <w:highlight w:val="none"/>
          <w:lang w:val="en-US" w:eastAsia="zh-CN"/>
        </w:rPr>
        <w:t>及实质性要求</w:t>
      </w:r>
      <w:r>
        <w:rPr>
          <w:rFonts w:hint="eastAsia"/>
          <w:color w:val="auto"/>
          <w:highlight w:val="none"/>
        </w:rPr>
        <w:t>予以确认</w:t>
      </w:r>
      <w:r>
        <w:rPr>
          <w:rFonts w:hint="eastAsia"/>
          <w:color w:val="auto"/>
          <w:highlight w:val="none"/>
          <w:lang w:val="en-US" w:eastAsia="zh-CN"/>
        </w:rPr>
        <w:t>响应</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rPr>
        <w:t>.投标人已详细审查全部“招标文件”，包括修改文件（如有）以及全部参考资料和有关附件，已经了解我方对于招标文件、采购过程、采购结果有依法进行询问、质疑、投诉的权利及相关渠道和要求。</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4</w:t>
      </w:r>
      <w:r>
        <w:rPr>
          <w:rFonts w:hint="eastAsia" w:ascii="Times New Roman" w:hAnsi="Times New Roman" w:eastAsia="宋体" w:cs="Times New Roman"/>
          <w:color w:val="auto"/>
          <w:highlight w:val="none"/>
        </w:rPr>
        <w:t>.投标人在投标之前已经与贵方进行了充分的沟通，完全理解并接受招标文件的各项规定和要求，对招标文件的合理性、合法性不再有异议。</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rPr>
        <w:t>.本投标有效期自开标日起</w:t>
      </w:r>
      <w:r>
        <w:rPr>
          <w:rFonts w:hint="eastAsia" w:ascii="Times New Roman" w:hAnsi="Times New Roman" w:eastAsia="宋体" w:cs="Times New Roman"/>
          <w:color w:val="auto"/>
          <w:highlight w:val="none"/>
          <w:u w:val="single"/>
        </w:rPr>
        <w:t>60</w:t>
      </w:r>
      <w:r>
        <w:rPr>
          <w:rFonts w:hint="eastAsia" w:ascii="Times New Roman" w:hAnsi="Times New Roman" w:eastAsia="宋体" w:cs="Times New Roman"/>
          <w:color w:val="auto"/>
          <w:highlight w:val="none"/>
        </w:rPr>
        <w:t>日历天。</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6</w:t>
      </w:r>
      <w:r>
        <w:rPr>
          <w:rFonts w:hint="eastAsia" w:ascii="Times New Roman" w:hAnsi="Times New Roman" w:eastAsia="宋体" w:cs="Times New Roman"/>
          <w:color w:val="auto"/>
          <w:highlight w:val="none"/>
        </w:rPr>
        <w:t>.如中标，本投标文件至本项目合同履行完毕止均保持有效，本投标人将按“招标文件”及政府采购法律、法规的规定履行合同责任和义务。</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7</w:t>
      </w:r>
      <w:r>
        <w:rPr>
          <w:rFonts w:hint="eastAsia" w:ascii="Times New Roman" w:hAnsi="Times New Roman" w:eastAsia="宋体" w:cs="Times New Roman"/>
          <w:color w:val="auto"/>
          <w:highlight w:val="none"/>
        </w:rPr>
        <w:t>.投标人同意按照贵方要求提供与投标有关的一切数据或资料。</w:t>
      </w:r>
    </w:p>
    <w:p>
      <w:pPr>
        <w:pageBreakBefore w:val="0"/>
        <w:kinsoku/>
        <w:wordWrap/>
        <w:overflowPunct/>
        <w:topLinePunct w:val="0"/>
        <w:bidi w:val="0"/>
        <w:spacing w:line="360" w:lineRule="auto"/>
        <w:ind w:firstLine="420"/>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8.投标人同意按招标文件规定交纳投标保证金、中标服务费，遵守所有有关招标的各项规定。</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9</w:t>
      </w:r>
      <w:r>
        <w:rPr>
          <w:rFonts w:hint="eastAsia" w:ascii="Times New Roman" w:hAnsi="Times New Roman" w:eastAsia="宋体" w:cs="Times New Roman"/>
          <w:color w:val="auto"/>
          <w:highlight w:val="none"/>
        </w:rPr>
        <w:t>.与本投标有关的一切正式往来信函请寄：</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地址：</w:t>
      </w:r>
      <w:r>
        <w:rPr>
          <w:rFonts w:hint="eastAsia"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邮编：</w:t>
      </w:r>
      <w:r>
        <w:rPr>
          <w:rFonts w:hint="eastAsia"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p>
    <w:p>
      <w:pPr>
        <w:pageBreakBefore w:val="0"/>
        <w:kinsoku/>
        <w:wordWrap/>
        <w:overflowPunct/>
        <w:topLinePunct w:val="0"/>
        <w:bidi w:val="0"/>
        <w:spacing w:line="360" w:lineRule="auto"/>
        <w:ind w:firstLine="42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电话：</w:t>
      </w:r>
      <w:r>
        <w:rPr>
          <w:rFonts w:ascii="Times New Roman" w:hAnsi="Times New Roman" w:eastAsia="宋体" w:cs="Times New Roman"/>
          <w:color w:val="auto"/>
          <w:highlight w:val="none"/>
        </w:rPr>
        <w:t>______________</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传真：</w:t>
      </w:r>
      <w:r>
        <w:rPr>
          <w:rFonts w:hint="eastAsia" w:ascii="Times New Roman" w:hAnsi="Times New Roman" w:eastAsia="宋体" w:cs="Times New Roman"/>
          <w:color w:val="auto"/>
          <w:highlight w:val="none"/>
          <w:u w:val="single"/>
        </w:rPr>
        <w:t xml:space="preserve">              </w:t>
      </w:r>
      <w:r>
        <w:rPr>
          <w:rFonts w:hint="eastAsia" w:ascii="Times New Roman" w:hAnsi="Times New Roman" w:eastAsia="宋体" w:cs="Times New Roman"/>
          <w:color w:val="auto"/>
          <w:highlight w:val="none"/>
        </w:rPr>
        <w:t xml:space="preserve"> </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投标人代表姓名：</w:t>
      </w:r>
      <w:r>
        <w:rPr>
          <w:rFonts w:hint="eastAsia"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rPr>
        <w:t>职务：</w:t>
      </w:r>
      <w:r>
        <w:rPr>
          <w:rFonts w:ascii="Times New Roman" w:hAnsi="Times New Roman" w:eastAsia="宋体" w:cs="Times New Roman"/>
          <w:color w:val="auto"/>
          <w:highlight w:val="none"/>
        </w:rPr>
        <w:t>______________</w:t>
      </w:r>
      <w:r>
        <w:rPr>
          <w:rFonts w:hint="eastAsia" w:ascii="Times New Roman" w:hAnsi="Times New Roman" w:eastAsia="宋体" w:cs="Times New Roman"/>
          <w:color w:val="auto"/>
          <w:highlight w:val="none"/>
        </w:rPr>
        <w:t xml:space="preserve">             </w:t>
      </w:r>
      <w:r>
        <w:rPr>
          <w:rFonts w:ascii="Times New Roman" w:hAnsi="Times New Roman" w:eastAsia="宋体" w:cs="Times New Roman"/>
          <w:color w:val="auto"/>
          <w:highlight w:val="none"/>
        </w:rPr>
        <w:t xml:space="preserve"> </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投标人名称</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公章</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w:t>
      </w:r>
      <w:r>
        <w:rPr>
          <w:rFonts w:ascii="Times New Roman" w:hAnsi="Times New Roman" w:eastAsia="宋体" w:cs="Times New Roman"/>
          <w:color w:val="auto"/>
          <w:highlight w:val="none"/>
        </w:rPr>
        <w:t xml:space="preserve"> _________________</w:t>
      </w:r>
      <w:r>
        <w:rPr>
          <w:rFonts w:hint="eastAsia" w:ascii="Times New Roman" w:hAnsi="Times New Roman" w:eastAsia="宋体" w:cs="Times New Roman"/>
          <w:color w:val="auto"/>
          <w:highlight w:val="none"/>
        </w:rPr>
        <w:t xml:space="preserve">                 </w:t>
      </w:r>
    </w:p>
    <w:p>
      <w:pPr>
        <w:pageBreakBefore w:val="0"/>
        <w:kinsoku/>
        <w:wordWrap/>
        <w:overflowPunct/>
        <w:topLinePunct w:val="0"/>
        <w:bidi w:val="0"/>
        <w:spacing w:line="360" w:lineRule="auto"/>
        <w:ind w:firstLine="420"/>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开户银行：</w:t>
      </w:r>
      <w:r>
        <w:rPr>
          <w:rFonts w:ascii="Times New Roman" w:hAnsi="Times New Roman" w:eastAsia="宋体" w:cs="Times New Roman"/>
          <w:color w:val="auto"/>
          <w:highlight w:val="none"/>
        </w:rPr>
        <w:t>_________________</w:t>
      </w:r>
      <w:r>
        <w:rPr>
          <w:rFonts w:hint="eastAsia" w:ascii="Times New Roman" w:hAnsi="Times New Roman" w:eastAsia="宋体" w:cs="Times New Roman"/>
          <w:color w:val="auto"/>
          <w:highlight w:val="none"/>
        </w:rPr>
        <w:t xml:space="preserve"> 银行帐号：</w:t>
      </w:r>
      <w:r>
        <w:rPr>
          <w:rFonts w:ascii="Times New Roman" w:hAnsi="Times New Roman" w:eastAsia="宋体" w:cs="Times New Roman"/>
          <w:color w:val="auto"/>
          <w:highlight w:val="none"/>
        </w:rPr>
        <w:t>_________________</w:t>
      </w:r>
    </w:p>
    <w:p>
      <w:pPr>
        <w:pStyle w:val="5"/>
        <w:pageBreakBefore w:val="0"/>
        <w:kinsoku/>
        <w:wordWrap/>
        <w:overflowPunct/>
        <w:topLinePunct w:val="0"/>
        <w:bidi w:val="0"/>
        <w:spacing w:line="360" w:lineRule="auto"/>
        <w:textAlignment w:val="auto"/>
        <w:rPr>
          <w:rFonts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法人代表或授权代表签章</w:t>
      </w:r>
      <w:r>
        <w:rPr>
          <w:rFonts w:ascii="Times New Roman" w:hAnsi="Times New Roman" w:eastAsia="宋体" w:cs="Times New Roman"/>
          <w:b w:val="0"/>
          <w:bCs/>
          <w:color w:val="auto"/>
          <w:highlight w:val="none"/>
        </w:rPr>
        <w:t>:</w:t>
      </w:r>
      <w:r>
        <w:rPr>
          <w:rFonts w:hint="eastAsia" w:ascii="Times New Roman" w:hAnsi="Times New Roman" w:eastAsia="宋体" w:cs="Times New Roman"/>
          <w:b w:val="0"/>
          <w:bCs/>
          <w:color w:val="auto"/>
          <w:highlight w:val="none"/>
        </w:rPr>
        <w:t xml:space="preserve"> </w:t>
      </w:r>
      <w:r>
        <w:rPr>
          <w:rFonts w:hint="eastAsia" w:ascii="Times New Roman" w:hAnsi="Times New Roman" w:eastAsia="宋体" w:cs="Times New Roman"/>
          <w:b w:val="0"/>
          <w:bCs/>
          <w:color w:val="auto"/>
          <w:highlight w:val="none"/>
          <w:u w:val="single"/>
        </w:rPr>
        <w:t xml:space="preserve">            </w:t>
      </w:r>
      <w:r>
        <w:rPr>
          <w:rFonts w:ascii="Times New Roman" w:hAnsi="Times New Roman" w:eastAsia="宋体" w:cs="Times New Roman"/>
          <w:b w:val="0"/>
          <w:bCs/>
          <w:color w:val="auto"/>
          <w:highlight w:val="none"/>
          <w:u w:val="single"/>
        </w:rPr>
        <w:t xml:space="preserve">                  </w:t>
      </w:r>
      <w:r>
        <w:rPr>
          <w:rFonts w:ascii="Times New Roman" w:hAnsi="Times New Roman" w:eastAsia="宋体" w:cs="Times New Roman"/>
          <w:b w:val="0"/>
          <w:bCs/>
          <w:color w:val="auto"/>
          <w:highlight w:val="none"/>
        </w:rPr>
        <w:t xml:space="preserve"> </w:t>
      </w:r>
    </w:p>
    <w:p>
      <w:pPr>
        <w:pStyle w:val="5"/>
        <w:pageBreakBefore w:val="0"/>
        <w:kinsoku/>
        <w:wordWrap/>
        <w:overflowPunct/>
        <w:topLinePunct w:val="0"/>
        <w:bidi w:val="0"/>
        <w:spacing w:line="360" w:lineRule="auto"/>
        <w:jc w:val="right"/>
        <w:textAlignment w:val="auto"/>
        <w:rPr>
          <w:rFonts w:ascii="Times New Roman" w:hAnsi="Times New Roman" w:eastAsia="宋体" w:cs="Times New Roman"/>
          <w:b w:val="0"/>
          <w:bCs/>
          <w:color w:val="auto"/>
          <w:highlight w:val="none"/>
        </w:rPr>
      </w:pPr>
    </w:p>
    <w:p>
      <w:pPr>
        <w:pStyle w:val="5"/>
        <w:pageBreakBefore w:val="0"/>
        <w:kinsoku/>
        <w:wordWrap/>
        <w:overflowPunct/>
        <w:topLinePunct w:val="0"/>
        <w:bidi w:val="0"/>
        <w:spacing w:line="360" w:lineRule="auto"/>
        <w:jc w:val="right"/>
        <w:textAlignment w:val="auto"/>
        <w:rPr>
          <w:rFonts w:hint="eastAsia" w:ascii="Times New Roman" w:hAnsi="Times New Roman" w:eastAsia="宋体" w:cs="Times New Roman"/>
          <w:b w:val="0"/>
          <w:bCs/>
          <w:color w:val="auto"/>
          <w:highlight w:val="none"/>
        </w:rPr>
      </w:pPr>
      <w:r>
        <w:rPr>
          <w:rFonts w:hint="eastAsia" w:ascii="Times New Roman" w:hAnsi="Times New Roman" w:eastAsia="宋体" w:cs="Times New Roman"/>
          <w:b w:val="0"/>
          <w:bCs/>
          <w:color w:val="auto"/>
          <w:highlight w:val="none"/>
        </w:rPr>
        <w:t>日期：</w:t>
      </w:r>
      <w:r>
        <w:rPr>
          <w:rFonts w:ascii="Times New Roman" w:hAnsi="Times New Roman" w:eastAsia="宋体" w:cs="Times New Roman"/>
          <w:b w:val="0"/>
          <w:bCs/>
          <w:color w:val="auto"/>
          <w:highlight w:val="none"/>
        </w:rPr>
        <w:t>_____</w:t>
      </w:r>
      <w:r>
        <w:rPr>
          <w:rFonts w:hint="eastAsia" w:ascii="Times New Roman" w:hAnsi="Times New Roman" w:eastAsia="宋体" w:cs="Times New Roman"/>
          <w:b w:val="0"/>
          <w:bCs/>
          <w:color w:val="auto"/>
          <w:highlight w:val="none"/>
        </w:rPr>
        <w:t>年</w:t>
      </w:r>
      <w:r>
        <w:rPr>
          <w:rFonts w:ascii="Times New Roman" w:hAnsi="Times New Roman" w:eastAsia="宋体" w:cs="Times New Roman"/>
          <w:b w:val="0"/>
          <w:bCs/>
          <w:color w:val="auto"/>
          <w:highlight w:val="none"/>
        </w:rPr>
        <w:t>___</w:t>
      </w:r>
      <w:r>
        <w:rPr>
          <w:rFonts w:hint="eastAsia" w:ascii="Times New Roman" w:hAnsi="Times New Roman" w:eastAsia="宋体" w:cs="Times New Roman"/>
          <w:b w:val="0"/>
          <w:bCs/>
          <w:color w:val="auto"/>
          <w:highlight w:val="none"/>
        </w:rPr>
        <w:t>月</w:t>
      </w:r>
      <w:r>
        <w:rPr>
          <w:rFonts w:ascii="Times New Roman" w:hAnsi="Times New Roman" w:eastAsia="宋体" w:cs="Times New Roman"/>
          <w:b w:val="0"/>
          <w:bCs/>
          <w:color w:val="auto"/>
          <w:highlight w:val="none"/>
        </w:rPr>
        <w:t>___</w:t>
      </w:r>
      <w:r>
        <w:rPr>
          <w:rFonts w:hint="eastAsia" w:ascii="Times New Roman" w:hAnsi="Times New Roman" w:eastAsia="宋体" w:cs="Times New Roman"/>
          <w:b w:val="0"/>
          <w:bCs/>
          <w:color w:val="auto"/>
          <w:highlight w:val="none"/>
        </w:rPr>
        <w:t>日</w:t>
      </w:r>
    </w:p>
    <w:p>
      <w:pPr>
        <w:pageBreakBefore w:val="0"/>
        <w:numPr>
          <w:ilvl w:val="0"/>
          <w:numId w:val="0"/>
        </w:numPr>
        <w:kinsoku/>
        <w:wordWrap/>
        <w:overflowPunct/>
        <w:topLinePunct w:val="0"/>
        <w:bidi w:val="0"/>
        <w:spacing w:line="360" w:lineRule="auto"/>
        <w:jc w:val="both"/>
        <w:textAlignment w:val="auto"/>
        <w:rPr>
          <w:rFonts w:hint="eastAsia" w:ascii="Times New Roman" w:hAnsi="Times New Roman" w:cs="Times New Roman"/>
          <w:b/>
          <w:bCs/>
          <w:color w:val="auto"/>
          <w:highlight w:val="none"/>
          <w:lang w:val="en-US" w:eastAsia="zh-CN"/>
        </w:rPr>
      </w:pPr>
    </w:p>
    <w:p>
      <w:pPr>
        <w:pageBreakBefore w:val="0"/>
        <w:numPr>
          <w:ilvl w:val="0"/>
          <w:numId w:val="0"/>
        </w:numPr>
        <w:kinsoku/>
        <w:wordWrap/>
        <w:overflowPunct/>
        <w:topLinePunct w:val="0"/>
        <w:bidi w:val="0"/>
        <w:spacing w:line="360" w:lineRule="auto"/>
        <w:jc w:val="both"/>
        <w:textAlignment w:val="auto"/>
        <w:rPr>
          <w:rFonts w:hint="eastAsia" w:ascii="Times New Roman" w:hAnsi="Times New Roman" w:cs="Times New Roman"/>
          <w:b/>
          <w:bCs/>
          <w:color w:val="auto"/>
          <w:highlight w:val="none"/>
          <w:lang w:val="en-US" w:eastAsia="zh-CN"/>
        </w:rPr>
      </w:pPr>
    </w:p>
    <w:p>
      <w:pPr>
        <w:pageBreakBefore w:val="0"/>
        <w:numPr>
          <w:ilvl w:val="0"/>
          <w:numId w:val="0"/>
        </w:numPr>
        <w:kinsoku/>
        <w:wordWrap/>
        <w:overflowPunct/>
        <w:topLinePunct w:val="0"/>
        <w:bidi w:val="0"/>
        <w:spacing w:line="360" w:lineRule="auto"/>
        <w:jc w:val="both"/>
        <w:textAlignment w:val="auto"/>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2.开标一览表</w:t>
      </w:r>
    </w:p>
    <w:p>
      <w:pPr>
        <w:pStyle w:val="5"/>
        <w:pageBreakBefore w:val="0"/>
        <w:kinsoku/>
        <w:wordWrap/>
        <w:overflowPunct/>
        <w:topLinePunct w:val="0"/>
        <w:bidi w:val="0"/>
        <w:spacing w:line="360" w:lineRule="auto"/>
        <w:ind w:firstLine="420"/>
        <w:textAlignment w:val="auto"/>
        <w:rPr>
          <w:rFonts w:hint="eastAsia" w:ascii="宋体" w:hAnsi="宋体" w:cs="宋体"/>
          <w:bCs/>
          <w:color w:val="auto"/>
          <w:highlight w:val="none"/>
        </w:rPr>
      </w:pPr>
    </w:p>
    <w:p>
      <w:pPr>
        <w:pStyle w:val="7"/>
        <w:pageBreakBefore w:val="0"/>
        <w:kinsoku/>
        <w:wordWrap/>
        <w:overflowPunct/>
        <w:topLinePunct w:val="0"/>
        <w:bidi w:val="0"/>
        <w:spacing w:line="360" w:lineRule="auto"/>
        <w:ind w:firstLine="422"/>
        <w:jc w:val="center"/>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开标一览表</w:t>
      </w:r>
    </w:p>
    <w:tbl>
      <w:tblPr>
        <w:tblStyle w:val="16"/>
        <w:tblW w:w="8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3386"/>
        <w:gridCol w:w="4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pacing w:line="360" w:lineRule="auto"/>
              <w:ind w:left="0" w:leftChars="0" w:firstLine="0" w:firstLineChars="0"/>
              <w:jc w:val="both"/>
              <w:textAlignment w:val="auto"/>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pacing w:line="360" w:lineRule="auto"/>
              <w:jc w:val="center"/>
              <w:textAlignment w:val="auto"/>
              <w:rPr>
                <w:rFonts w:hint="eastAsia" w:ascii="宋体" w:hAnsi="宋体" w:cs="宋体"/>
                <w:b/>
                <w:color w:val="auto"/>
                <w:szCs w:val="21"/>
                <w:highlight w:val="none"/>
              </w:rPr>
            </w:pPr>
            <w:r>
              <w:rPr>
                <w:rFonts w:hint="eastAsia" w:ascii="宋体" w:hAnsi="宋体" w:cs="宋体"/>
                <w:b/>
                <w:color w:val="auto"/>
                <w:szCs w:val="21"/>
                <w:highlight w:val="none"/>
              </w:rPr>
              <w:t>项目名称</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pacing w:line="360" w:lineRule="auto"/>
              <w:jc w:val="center"/>
              <w:textAlignment w:val="auto"/>
              <w:rPr>
                <w:rFonts w:hint="eastAsia" w:ascii="宋体" w:hAnsi="宋体" w:cs="宋体"/>
                <w:b/>
                <w:color w:val="auto"/>
                <w:kern w:val="0"/>
                <w:szCs w:val="21"/>
                <w:highlight w:val="none"/>
              </w:rPr>
            </w:pPr>
            <w:r>
              <w:rPr>
                <w:rFonts w:hint="eastAsia" w:ascii="宋体" w:hAnsi="宋体" w:cs="宋体"/>
                <w:b/>
                <w:color w:val="auto"/>
                <w:szCs w:val="21"/>
                <w:highlight w:val="none"/>
              </w:rPr>
              <w:t>投标报价（含税）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napToGrid w:val="0"/>
              <w:spacing w:line="360" w:lineRule="auto"/>
              <w:ind w:left="0" w:leftChars="0" w:firstLine="0" w:firstLineChars="0"/>
              <w:jc w:val="both"/>
              <w:textAlignment w:val="auto"/>
              <w:rPr>
                <w:rFonts w:hint="eastAsia" w:ascii="宋体" w:hAnsi="宋体" w:cs="宋体"/>
                <w:b/>
                <w:color w:val="auto"/>
                <w:szCs w:val="21"/>
                <w:highlight w:val="none"/>
              </w:rPr>
            </w:pPr>
            <w:r>
              <w:rPr>
                <w:rFonts w:hint="eastAsia" w:ascii="宋体" w:hAnsi="宋体" w:cs="宋体"/>
                <w:bCs/>
                <w:color w:val="auto"/>
                <w:szCs w:val="21"/>
                <w:highlight w:val="none"/>
              </w:rPr>
              <w:t>1</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b/>
                <w:color w:val="auto"/>
                <w:szCs w:val="21"/>
                <w:highlight w:val="none"/>
              </w:rPr>
            </w:pPr>
            <w:r>
              <w:rPr>
                <w:rFonts w:hint="eastAsia" w:ascii="宋体" w:hAnsi="宋体" w:cs="宋体"/>
                <w:color w:val="auto"/>
                <w:sz w:val="24"/>
                <w:highlight w:val="none"/>
              </w:rPr>
              <w:t>坞修工程</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spacing w:line="360" w:lineRule="auto"/>
              <w:jc w:val="center"/>
              <w:textAlignment w:val="auto"/>
              <w:rPr>
                <w:rFonts w:hint="eastAsia" w:ascii="宋体" w:hAnsi="宋体" w:cs="宋体"/>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napToGrid w:val="0"/>
              <w:spacing w:line="360" w:lineRule="auto"/>
              <w:ind w:left="0" w:leftChars="0" w:firstLine="0" w:firstLineChars="0"/>
              <w:jc w:val="both"/>
              <w:textAlignment w:val="auto"/>
              <w:rPr>
                <w:rFonts w:hint="eastAsia" w:ascii="宋体" w:hAnsi="宋体" w:cs="宋体"/>
                <w:bCs/>
                <w:color w:val="auto"/>
                <w:szCs w:val="21"/>
                <w:highlight w:val="none"/>
              </w:rPr>
            </w:pPr>
            <w:r>
              <w:rPr>
                <w:rFonts w:hint="eastAsia" w:ascii="宋体" w:hAnsi="宋体" w:cs="宋体"/>
                <w:bCs/>
                <w:color w:val="auto"/>
                <w:szCs w:val="21"/>
                <w:highlight w:val="none"/>
              </w:rPr>
              <w:t>2</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bCs/>
                <w:color w:val="auto"/>
                <w:sz w:val="20"/>
                <w:highlight w:val="none"/>
              </w:rPr>
            </w:pPr>
            <w:r>
              <w:rPr>
                <w:rFonts w:hint="eastAsia" w:ascii="宋体" w:hAnsi="宋体" w:cs="宋体"/>
                <w:color w:val="auto"/>
                <w:sz w:val="24"/>
                <w:highlight w:val="none"/>
              </w:rPr>
              <w:t>甲板工程</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textAlignment w:val="auto"/>
              <w:rPr>
                <w:rFonts w:hint="eastAsia" w:ascii="宋体" w:hAnsi="宋体" w:cs="宋体"/>
                <w:bCs/>
                <w:color w:val="auto"/>
                <w:spacing w:val="-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napToGrid w:val="0"/>
              <w:spacing w:line="360" w:lineRule="auto"/>
              <w:ind w:left="0" w:leftChars="0" w:firstLine="0" w:firstLineChars="0"/>
              <w:jc w:val="both"/>
              <w:textAlignment w:val="auto"/>
              <w:rPr>
                <w:rFonts w:hint="eastAsia" w:ascii="宋体" w:hAnsi="宋体" w:cs="宋体"/>
                <w:bCs/>
                <w:color w:val="auto"/>
                <w:szCs w:val="21"/>
                <w:highlight w:val="none"/>
              </w:rPr>
            </w:pPr>
            <w:r>
              <w:rPr>
                <w:rFonts w:hint="eastAsia" w:ascii="宋体" w:hAnsi="宋体" w:cs="宋体"/>
                <w:bCs/>
                <w:color w:val="auto"/>
                <w:szCs w:val="21"/>
                <w:highlight w:val="none"/>
              </w:rPr>
              <w:t>3</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bCs/>
                <w:color w:val="auto"/>
                <w:szCs w:val="21"/>
                <w:highlight w:val="none"/>
              </w:rPr>
            </w:pPr>
            <w:r>
              <w:rPr>
                <w:rFonts w:hint="eastAsia" w:ascii="宋体" w:hAnsi="宋体" w:cs="宋体"/>
                <w:color w:val="auto"/>
                <w:sz w:val="24"/>
                <w:highlight w:val="none"/>
              </w:rPr>
              <w:t xml:space="preserve">轮机工程 </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textAlignment w:val="auto"/>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napToGrid w:val="0"/>
              <w:spacing w:line="360" w:lineRule="auto"/>
              <w:ind w:left="0" w:leftChars="0" w:firstLine="0" w:firstLineChars="0"/>
              <w:jc w:val="both"/>
              <w:textAlignment w:val="auto"/>
              <w:rPr>
                <w:rFonts w:hint="eastAsia" w:ascii="宋体" w:hAnsi="宋体" w:cs="宋体"/>
                <w:bCs/>
                <w:color w:val="auto"/>
                <w:szCs w:val="21"/>
                <w:highlight w:val="none"/>
              </w:rPr>
            </w:pPr>
            <w:r>
              <w:rPr>
                <w:rFonts w:hint="eastAsia" w:ascii="宋体" w:hAnsi="宋体" w:cs="宋体"/>
                <w:bCs/>
                <w:color w:val="auto"/>
                <w:szCs w:val="21"/>
                <w:highlight w:val="none"/>
              </w:rPr>
              <w:t>4</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bCs/>
                <w:color w:val="auto"/>
                <w:szCs w:val="21"/>
                <w:highlight w:val="none"/>
              </w:rPr>
            </w:pPr>
            <w:r>
              <w:rPr>
                <w:rFonts w:hint="eastAsia" w:ascii="宋体" w:hAnsi="宋体" w:cs="宋体"/>
                <w:color w:val="auto"/>
                <w:sz w:val="24"/>
                <w:highlight w:val="none"/>
              </w:rPr>
              <w:t>电气工程</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textAlignment w:val="auto"/>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napToGrid w:val="0"/>
              <w:spacing w:line="360" w:lineRule="auto"/>
              <w:ind w:left="0" w:leftChars="0" w:firstLine="0" w:firstLineChars="0"/>
              <w:jc w:val="both"/>
              <w:textAlignment w:val="auto"/>
              <w:rPr>
                <w:rFonts w:hint="eastAsia" w:ascii="宋体" w:hAnsi="宋体" w:cs="宋体"/>
                <w:bCs/>
                <w:color w:val="auto"/>
                <w:szCs w:val="21"/>
                <w:highlight w:val="none"/>
              </w:rPr>
            </w:pPr>
            <w:r>
              <w:rPr>
                <w:rFonts w:hint="eastAsia" w:ascii="宋体" w:hAnsi="宋体" w:cs="宋体"/>
                <w:bCs/>
                <w:color w:val="auto"/>
                <w:szCs w:val="21"/>
                <w:highlight w:val="none"/>
              </w:rPr>
              <w:t>5</w:t>
            </w:r>
          </w:p>
        </w:tc>
        <w:tc>
          <w:tcPr>
            <w:tcW w:w="338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其它工程</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textAlignment w:val="auto"/>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4041"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spacing w:before="100" w:after="100" w:line="360" w:lineRule="auto"/>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合计</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textAlignment w:val="auto"/>
              <w:rPr>
                <w:rFonts w:hint="eastAsia" w:ascii="宋体" w:hAnsi="宋体" w:cs="宋体"/>
                <w:color w:val="auto"/>
                <w:highlight w:val="none"/>
              </w:rPr>
            </w:pPr>
            <w:r>
              <w:rPr>
                <w:rFonts w:hint="eastAsia" w:ascii="宋体" w:hAnsi="宋体" w:cs="宋体"/>
                <w:color w:val="auto"/>
                <w:highlight w:val="none"/>
              </w:rPr>
              <w:t>大写：人民币</w:t>
            </w:r>
            <w:r>
              <w:rPr>
                <w:rFonts w:hint="eastAsia" w:ascii="宋体" w:hAnsi="宋体" w:cs="宋体"/>
                <w:color w:val="auto"/>
                <w:highlight w:val="none"/>
                <w:u w:val="single"/>
              </w:rPr>
              <w:t xml:space="preserve">              </w:t>
            </w:r>
            <w:r>
              <w:rPr>
                <w:rFonts w:hint="eastAsia" w:ascii="宋体" w:hAnsi="宋体" w:cs="宋体"/>
                <w:color w:val="auto"/>
                <w:highlight w:val="none"/>
              </w:rPr>
              <w:t>元</w:t>
            </w:r>
          </w:p>
          <w:p>
            <w:pPr>
              <w:pageBreakBefore w:val="0"/>
              <w:kinsoku/>
              <w:wordWrap/>
              <w:overflowPunct/>
              <w:topLinePunct w:val="0"/>
              <w:bidi w:val="0"/>
              <w:spacing w:line="360" w:lineRule="auto"/>
              <w:textAlignment w:val="auto"/>
              <w:rPr>
                <w:rFonts w:hint="eastAsia" w:ascii="宋体" w:hAnsi="宋体" w:cs="宋体"/>
                <w:color w:val="auto"/>
                <w:highlight w:val="none"/>
              </w:rPr>
            </w:pPr>
            <w:r>
              <w:rPr>
                <w:rFonts w:hint="eastAsia" w:ascii="宋体" w:hAnsi="宋体" w:cs="宋体"/>
                <w:color w:val="auto"/>
                <w:highlight w:val="none"/>
              </w:rPr>
              <w:t>小写：¥</w:t>
            </w:r>
            <w:r>
              <w:rPr>
                <w:rFonts w:hint="eastAsia" w:ascii="宋体" w:hAnsi="宋体" w:cs="宋体"/>
                <w:color w:val="auto"/>
                <w:highlight w:val="none"/>
                <w:u w:val="single"/>
              </w:rPr>
              <w:t xml:space="preserve">               </w:t>
            </w:r>
            <w:r>
              <w:rPr>
                <w:rFonts w:hint="eastAsia" w:ascii="宋体" w:hAnsi="宋体" w:cs="宋体"/>
                <w:color w:val="auto"/>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4041" w:type="dxa"/>
            <w:gridSpan w:val="2"/>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ind w:firstLine="422"/>
              <w:jc w:val="center"/>
              <w:textAlignment w:val="auto"/>
              <w:rPr>
                <w:rFonts w:hint="eastAsia" w:ascii="宋体" w:hAnsi="宋体" w:cs="宋体"/>
                <w:b/>
                <w:color w:val="auto"/>
                <w:szCs w:val="21"/>
                <w:highlight w:val="none"/>
              </w:rPr>
            </w:pPr>
            <w:r>
              <w:rPr>
                <w:rFonts w:hint="eastAsia" w:ascii="宋体" w:hAnsi="宋体" w:cs="宋体"/>
                <w:b/>
                <w:color w:val="auto"/>
                <w:szCs w:val="21"/>
                <w:highlight w:val="none"/>
              </w:rPr>
              <w:t>税率</w:t>
            </w:r>
          </w:p>
        </w:tc>
        <w:tc>
          <w:tcPr>
            <w:tcW w:w="4383"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bidi w:val="0"/>
              <w:spacing w:line="360" w:lineRule="auto"/>
              <w:ind w:firstLine="608" w:firstLineChars="300"/>
              <w:textAlignment w:val="auto"/>
              <w:rPr>
                <w:rFonts w:hint="eastAsia" w:ascii="宋体" w:hAnsi="宋体" w:cs="宋体"/>
                <w:bCs/>
                <w:color w:val="auto"/>
                <w:spacing w:val="-4"/>
                <w:szCs w:val="21"/>
                <w:highlight w:val="none"/>
              </w:rPr>
            </w:pPr>
            <w:r>
              <w:rPr>
                <w:rFonts w:hint="eastAsia" w:ascii="宋体" w:hAnsi="宋体" w:cs="宋体"/>
                <w:b/>
                <w:color w:val="auto"/>
                <w:spacing w:val="-4"/>
                <w:szCs w:val="21"/>
                <w:highlight w:val="none"/>
              </w:rPr>
              <w:t>13%</w:t>
            </w:r>
          </w:p>
        </w:tc>
      </w:tr>
    </w:tbl>
    <w:p>
      <w:pPr>
        <w:pStyle w:val="5"/>
        <w:pageBreakBefore w:val="0"/>
        <w:kinsoku/>
        <w:wordWrap/>
        <w:overflowPunct/>
        <w:topLinePunct w:val="0"/>
        <w:bidi w:val="0"/>
        <w:spacing w:line="360" w:lineRule="auto"/>
        <w:ind w:firstLine="422"/>
        <w:textAlignment w:val="auto"/>
        <w:rPr>
          <w:rFonts w:hint="eastAsia" w:ascii="宋体" w:hAnsi="宋体" w:cs="宋体"/>
          <w:b w:val="0"/>
          <w:color w:val="auto"/>
          <w:highlight w:val="none"/>
        </w:rPr>
      </w:pPr>
      <w:r>
        <w:rPr>
          <w:rFonts w:hint="eastAsia" w:ascii="宋体" w:hAnsi="宋体" w:cs="宋体"/>
          <w:color w:val="auto"/>
          <w:szCs w:val="21"/>
          <w:highlight w:val="none"/>
        </w:rPr>
        <w:t>注：1、</w:t>
      </w:r>
      <w:r>
        <w:rPr>
          <w:rFonts w:hint="eastAsia" w:ascii="宋体" w:hAnsi="宋体" w:cs="宋体"/>
          <w:b w:val="0"/>
          <w:bCs/>
          <w:color w:val="auto"/>
          <w:highlight w:val="none"/>
        </w:rPr>
        <w:t>投标价格已包含了设备维修的维修费、检测费、税费、运输费、新更换的零部件费用及其它所有费用。</w:t>
      </w:r>
    </w:p>
    <w:p>
      <w:pPr>
        <w:pStyle w:val="5"/>
        <w:pageBreakBefore w:val="0"/>
        <w:numPr>
          <w:ilvl w:val="0"/>
          <w:numId w:val="3"/>
        </w:numPr>
        <w:kinsoku/>
        <w:wordWrap/>
        <w:overflowPunct/>
        <w:topLinePunct w:val="0"/>
        <w:bidi w:val="0"/>
        <w:spacing w:line="360" w:lineRule="auto"/>
        <w:ind w:firstLine="422"/>
        <w:textAlignment w:val="auto"/>
        <w:rPr>
          <w:rFonts w:hint="eastAsia" w:ascii="宋体" w:hAnsi="宋体" w:cs="宋体"/>
          <w:bCs/>
          <w:color w:val="auto"/>
          <w:szCs w:val="21"/>
          <w:highlight w:val="none"/>
        </w:rPr>
      </w:pPr>
      <w:r>
        <w:rPr>
          <w:rFonts w:hint="eastAsia" w:ascii="宋体" w:hAnsi="宋体" w:cs="宋体"/>
          <w:bCs/>
          <w:color w:val="auto"/>
          <w:szCs w:val="21"/>
          <w:highlight w:val="none"/>
        </w:rPr>
        <w:t>如国家在合同期间调整增值税，则合同总价款按照不含税价不变原则进行调整。</w:t>
      </w:r>
    </w:p>
    <w:p>
      <w:pPr>
        <w:pStyle w:val="5"/>
        <w:pageBreakBefore w:val="0"/>
        <w:kinsoku/>
        <w:wordWrap/>
        <w:overflowPunct/>
        <w:topLinePunct w:val="0"/>
        <w:bidi w:val="0"/>
        <w:spacing w:line="360" w:lineRule="auto"/>
        <w:ind w:firstLine="422"/>
        <w:textAlignment w:val="auto"/>
        <w:rPr>
          <w:rFonts w:hint="eastAsia" w:ascii="宋体" w:hAnsi="宋体" w:cs="宋体"/>
          <w:b w:val="0"/>
          <w:bCs/>
          <w:color w:val="auto"/>
          <w:highlight w:val="none"/>
        </w:rPr>
      </w:pPr>
    </w:p>
    <w:p>
      <w:pPr>
        <w:pStyle w:val="5"/>
        <w:pageBreakBefore w:val="0"/>
        <w:kinsoku/>
        <w:wordWrap/>
        <w:overflowPunct/>
        <w:topLinePunct w:val="0"/>
        <w:bidi w:val="0"/>
        <w:spacing w:line="360" w:lineRule="auto"/>
        <w:ind w:firstLine="422"/>
        <w:textAlignment w:val="auto"/>
        <w:rPr>
          <w:rFonts w:hint="eastAsia" w:ascii="宋体" w:hAnsi="宋体" w:cs="宋体"/>
          <w:b w:val="0"/>
          <w:bCs/>
          <w:color w:val="auto"/>
          <w:highlight w:val="none"/>
        </w:rPr>
      </w:pPr>
    </w:p>
    <w:p>
      <w:pPr>
        <w:pageBreakBefore w:val="0"/>
        <w:kinsoku/>
        <w:wordWrap/>
        <w:overflowPunct/>
        <w:topLinePunct w:val="0"/>
        <w:bidi w:val="0"/>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法定代表人或授权代表（签章）：</w:t>
      </w:r>
    </w:p>
    <w:p>
      <w:pPr>
        <w:pageBreakBefore w:val="0"/>
        <w:kinsoku/>
        <w:wordWrap/>
        <w:overflowPunct/>
        <w:topLinePunct w:val="0"/>
        <w:bidi w:val="0"/>
        <w:spacing w:line="360" w:lineRule="auto"/>
        <w:ind w:firstLine="420"/>
        <w:textAlignment w:val="auto"/>
        <w:rPr>
          <w:rFonts w:hint="eastAsia" w:ascii="宋体" w:hAnsi="宋体" w:cs="宋体"/>
          <w:color w:val="auto"/>
          <w:highlight w:val="none"/>
        </w:rPr>
      </w:pPr>
      <w:r>
        <w:rPr>
          <w:rFonts w:hint="eastAsia" w:ascii="宋体" w:hAnsi="宋体" w:cs="宋体"/>
          <w:color w:val="auto"/>
          <w:highlight w:val="none"/>
        </w:rPr>
        <w:t>投标人名称（盖章）：</w:t>
      </w:r>
    </w:p>
    <w:p>
      <w:pPr>
        <w:pageBreakBefore w:val="0"/>
        <w:kinsoku/>
        <w:wordWrap/>
        <w:overflowPunct/>
        <w:topLinePunct w:val="0"/>
        <w:bidi w:val="0"/>
        <w:spacing w:line="360" w:lineRule="auto"/>
        <w:ind w:firstLine="420"/>
        <w:jc w:val="right"/>
        <w:textAlignment w:val="auto"/>
        <w:rPr>
          <w:rFonts w:hint="eastAsia" w:ascii="宋体" w:hAnsi="宋体" w:cs="宋体"/>
          <w:color w:val="auto"/>
          <w:highlight w:val="none"/>
        </w:rPr>
      </w:pPr>
      <w:r>
        <w:rPr>
          <w:rFonts w:hint="eastAsia" w:ascii="宋体" w:hAnsi="宋体" w:cs="宋体"/>
          <w:color w:val="auto"/>
          <w:highlight w:val="none"/>
        </w:rPr>
        <w:t>日期：  年   月   日</w:t>
      </w:r>
    </w:p>
    <w:p>
      <w:pPr>
        <w:pageBreakBefore w:val="0"/>
        <w:kinsoku/>
        <w:wordWrap/>
        <w:overflowPunct/>
        <w:topLinePunct w:val="0"/>
        <w:bidi w:val="0"/>
        <w:spacing w:line="360" w:lineRule="auto"/>
        <w:textAlignment w:val="auto"/>
        <w:rPr>
          <w:rFonts w:hint="eastAsia" w:ascii="宋体" w:hAnsi="宋体" w:cs="宋体"/>
          <w:color w:val="auto"/>
          <w:highlight w:val="none"/>
        </w:rPr>
        <w:sectPr>
          <w:headerReference r:id="rId13" w:type="default"/>
          <w:footerReference r:id="rId14" w:type="default"/>
          <w:pgSz w:w="11906" w:h="16838"/>
          <w:pgMar w:top="2098" w:right="1474" w:bottom="1984" w:left="1587" w:header="851" w:footer="992" w:gutter="0"/>
          <w:pgNumType w:fmt="decimal"/>
          <w:cols w:space="720" w:num="1"/>
          <w:docGrid w:type="lines" w:linePitch="312" w:charSpace="0"/>
        </w:sectPr>
      </w:pPr>
    </w:p>
    <w:p>
      <w:pPr>
        <w:pStyle w:val="15"/>
        <w:pageBreakBefore w:val="0"/>
        <w:numPr>
          <w:ilvl w:val="0"/>
          <w:numId w:val="0"/>
        </w:numPr>
        <w:kinsoku/>
        <w:wordWrap/>
        <w:overflowPunct/>
        <w:topLinePunct w:val="0"/>
        <w:bidi w:val="0"/>
        <w:spacing w:line="360" w:lineRule="auto"/>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cs="Times New Roman"/>
          <w:b/>
          <w:bCs/>
          <w:color w:val="auto"/>
          <w:highlight w:val="none"/>
          <w:lang w:val="en-US" w:eastAsia="zh-CN"/>
        </w:rPr>
        <w:t>3.</w:t>
      </w:r>
      <w:r>
        <w:rPr>
          <w:rFonts w:hint="default" w:ascii="Times New Roman" w:hAnsi="Times New Roman" w:cs="Times New Roman"/>
          <w:b/>
          <w:bCs/>
          <w:color w:val="auto"/>
          <w:highlight w:val="none"/>
          <w:lang w:val="zh-CN"/>
        </w:rPr>
        <w:t>报价明细表</w:t>
      </w:r>
      <w:r>
        <w:rPr>
          <w:rFonts w:hint="eastAsia" w:ascii="Times New Roman" w:hAnsi="Times New Roman" w:cs="Times New Roman"/>
          <w:b/>
          <w:bCs/>
          <w:color w:val="auto"/>
          <w:highlight w:val="none"/>
          <w:lang w:val="zh-CN"/>
        </w:rPr>
        <w:t>，</w:t>
      </w:r>
      <w:r>
        <w:rPr>
          <w:rFonts w:hint="eastAsia" w:ascii="Times New Roman" w:hAnsi="Times New Roman" w:cs="Times New Roman"/>
          <w:b/>
          <w:bCs/>
          <w:color w:val="auto"/>
          <w:highlight w:val="none"/>
          <w:lang w:val="en-US" w:eastAsia="zh-CN"/>
        </w:rPr>
        <w:t>格式由乙方自拟。</w:t>
      </w:r>
    </w:p>
    <w:p>
      <w:pPr>
        <w:pageBreakBefore w:val="0"/>
        <w:numPr>
          <w:ilvl w:val="12"/>
          <w:numId w:val="0"/>
        </w:numPr>
        <w:kinsoku/>
        <w:wordWrap/>
        <w:overflowPunct/>
        <w:topLinePunct w:val="0"/>
        <w:bidi w:val="0"/>
        <w:adjustRightInd w:val="0"/>
        <w:snapToGrid w:val="0"/>
        <w:spacing w:line="360" w:lineRule="auto"/>
        <w:ind w:firstLine="420" w:firstLineChars="200"/>
        <w:textAlignment w:val="auto"/>
        <w:rPr>
          <w:rFonts w:hint="eastAsia"/>
          <w:snapToGrid w:val="0"/>
          <w:color w:val="auto"/>
          <w:sz w:val="22"/>
          <w:szCs w:val="22"/>
          <w:highlight w:val="none"/>
        </w:rPr>
      </w:pPr>
      <w:r>
        <w:rPr>
          <w:color w:val="auto"/>
          <w:highlight w:val="none"/>
        </w:rPr>
        <w:tab/>
      </w:r>
      <w:r>
        <w:rPr>
          <w:rFonts w:hint="eastAsia"/>
          <w:color w:val="auto"/>
          <w:sz w:val="22"/>
          <w:szCs w:val="22"/>
          <w:highlight w:val="none"/>
        </w:rPr>
        <w:t>按《修理工程项目</w:t>
      </w:r>
      <w:r>
        <w:rPr>
          <w:color w:val="auto"/>
          <w:sz w:val="22"/>
          <w:szCs w:val="22"/>
          <w:highlight w:val="none"/>
        </w:rPr>
        <w:t>单</w:t>
      </w:r>
      <w:r>
        <w:rPr>
          <w:rFonts w:hint="eastAsia"/>
          <w:color w:val="auto"/>
          <w:sz w:val="22"/>
          <w:szCs w:val="22"/>
          <w:highlight w:val="none"/>
        </w:rPr>
        <w:t>》的项目、数量填写各分项报价（甲供材料除外）。</w:t>
      </w:r>
      <w:r>
        <w:rPr>
          <w:rFonts w:hint="eastAsia"/>
          <w:snapToGrid w:val="0"/>
          <w:color w:val="auto"/>
          <w:sz w:val="22"/>
          <w:szCs w:val="22"/>
          <w:highlight w:val="none"/>
        </w:rPr>
        <w:t>修理工程单中标价的综合单价，已包括本项目所需的人工费、材料费、机械费及企业管理费、</w:t>
      </w:r>
    </w:p>
    <w:p>
      <w:pPr>
        <w:pageBreakBefore w:val="0"/>
        <w:kinsoku/>
        <w:wordWrap/>
        <w:overflowPunct/>
        <w:topLinePunct w:val="0"/>
        <w:bidi w:val="0"/>
        <w:spacing w:line="360" w:lineRule="auto"/>
        <w:textAlignment w:val="auto"/>
        <w:rPr>
          <w:rFonts w:hint="default" w:ascii="Times New Roman" w:hAnsi="Times New Roman" w:eastAsia="宋体" w:cs="Times New Roman"/>
          <w:color w:val="auto"/>
          <w:kern w:val="2"/>
          <w:sz w:val="21"/>
          <w:szCs w:val="24"/>
          <w:highlight w:val="none"/>
          <w:lang w:val="en-US" w:eastAsia="zh-CN" w:bidi="ar-SA"/>
        </w:rPr>
      </w:pPr>
    </w:p>
    <w:p>
      <w:pPr>
        <w:pageBreakBefore w:val="0"/>
        <w:tabs>
          <w:tab w:val="left" w:pos="1241"/>
        </w:tabs>
        <w:kinsoku/>
        <w:wordWrap/>
        <w:overflowPunct/>
        <w:topLinePunct w:val="0"/>
        <w:bidi w:val="0"/>
        <w:spacing w:line="360" w:lineRule="auto"/>
        <w:ind w:left="0" w:leftChars="0" w:firstLine="0" w:firstLineChars="0"/>
        <w:jc w:val="left"/>
        <w:textAlignment w:val="auto"/>
        <w:rPr>
          <w:rFonts w:hint="default"/>
          <w:color w:val="auto"/>
          <w:highlight w:val="none"/>
          <w:lang w:val="en-US" w:eastAsia="zh-CN"/>
        </w:rPr>
        <w:sectPr>
          <w:footerReference r:id="rId16" w:type="first"/>
          <w:footerReference r:id="rId15" w:type="default"/>
          <w:pgSz w:w="11906" w:h="16838"/>
          <w:pgMar w:top="1247" w:right="1758" w:bottom="1247" w:left="1758" w:header="851" w:footer="851" w:gutter="0"/>
          <w:pgNumType w:fmt="decimal"/>
          <w:cols w:space="720" w:num="1"/>
          <w:titlePg/>
          <w:docGrid w:linePitch="312" w:charSpace="0"/>
        </w:sectPr>
      </w:pPr>
    </w:p>
    <w:p>
      <w:pPr>
        <w:pStyle w:val="5"/>
        <w:pageBreakBefore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 xml:space="preserve">4. </w:t>
      </w:r>
      <w:r>
        <w:rPr>
          <w:rFonts w:hint="default" w:ascii="Times New Roman" w:hAnsi="Times New Roman" w:cs="Times New Roman"/>
          <w:color w:val="auto"/>
          <w:highlight w:val="none"/>
        </w:rPr>
        <w:t>投标人针对报价需要说明的其他文件和说明（格式自拟）。</w:t>
      </w:r>
    </w:p>
    <w:p>
      <w:pPr>
        <w:pStyle w:val="4"/>
        <w:pageBreakBefore w:val="0"/>
        <w:kinsoku/>
        <w:wordWrap/>
        <w:overflowPunct/>
        <w:topLinePunct w:val="0"/>
        <w:bidi w:val="0"/>
        <w:spacing w:line="360" w:lineRule="auto"/>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第二部分：商务技术</w:t>
      </w:r>
      <w:r>
        <w:rPr>
          <w:rFonts w:hint="eastAsia" w:cs="Times New Roman"/>
          <w:color w:val="auto"/>
          <w:highlight w:val="none"/>
          <w:lang w:val="en-US" w:eastAsia="zh-CN"/>
        </w:rPr>
        <w:t>标</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sz w:val="24"/>
          <w:highlight w:val="none"/>
        </w:rPr>
      </w:pPr>
      <w:r>
        <w:rPr>
          <w:rFonts w:hint="eastAsia" w:cs="Times New Roman"/>
          <w:color w:val="auto"/>
          <w:highlight w:val="none"/>
          <w:lang w:val="en-US" w:eastAsia="zh-CN"/>
        </w:rPr>
        <w:t xml:space="preserve">1. </w:t>
      </w:r>
      <w:r>
        <w:rPr>
          <w:rFonts w:hint="default" w:ascii="Times New Roman" w:hAnsi="Times New Roman" w:cs="Times New Roman"/>
          <w:color w:val="auto"/>
          <w:highlight w:val="none"/>
        </w:rPr>
        <w:t>商务响应表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商务响应表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招标编号：                                 项目名称：</w:t>
      </w:r>
    </w:p>
    <w:tbl>
      <w:tblPr>
        <w:tblStyle w:val="16"/>
        <w:tblW w:w="90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53"/>
        <w:gridCol w:w="4715"/>
        <w:gridCol w:w="1760"/>
        <w:gridCol w:w="14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条款号</w:t>
            </w:r>
          </w:p>
        </w:tc>
        <w:tc>
          <w:tcPr>
            <w:tcW w:w="47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招标文件要求</w:t>
            </w: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投标人的承诺和说明</w:t>
            </w: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w:t>
            </w:r>
            <w:r>
              <w:rPr>
                <w:rFonts w:hint="eastAsia" w:cs="Times New Roman"/>
                <w:color w:val="auto"/>
                <w:highlight w:val="none"/>
                <w:lang w:val="en-US" w:eastAsia="zh-CN"/>
              </w:rPr>
              <w:t>1</w:t>
            </w:r>
          </w:p>
        </w:tc>
        <w:tc>
          <w:tcPr>
            <w:tcW w:w="47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eastAsia" w:ascii="Times New Roman" w:hAnsi="Times New Roman" w:eastAsia="宋体" w:cs="Times New Roman"/>
                <w:color w:val="auto"/>
                <w:highlight w:val="none"/>
                <w:lang w:val="en-US" w:eastAsia="zh-CN"/>
              </w:rPr>
              <w:t>质保要求：</w:t>
            </w:r>
            <w:r>
              <w:rPr>
                <w:rFonts w:hint="eastAsia" w:ascii="宋体" w:hAnsi="宋体" w:cs="宋体"/>
                <w:color w:val="auto"/>
                <w:szCs w:val="21"/>
                <w:highlight w:val="none"/>
              </w:rPr>
              <w:t>运动部件3个月，非运动部件6个月</w:t>
            </w: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cs="Times New Roman"/>
                <w:color w:val="auto"/>
                <w:highlight w:val="none"/>
              </w:rPr>
              <w:t>★</w:t>
            </w:r>
            <w:r>
              <w:rPr>
                <w:rFonts w:hint="eastAsia" w:ascii="宋体" w:hAnsi="宋体" w:eastAsia="宋体" w:cs="宋体"/>
                <w:color w:val="auto"/>
                <w:szCs w:val="21"/>
                <w:highlight w:val="none"/>
                <w:lang w:val="en-US" w:eastAsia="zh-CN"/>
              </w:rPr>
              <w:t>2</w:t>
            </w:r>
          </w:p>
        </w:tc>
        <w:tc>
          <w:tcPr>
            <w:tcW w:w="471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服务期限</w:t>
            </w:r>
            <w:r>
              <w:rPr>
                <w:rFonts w:hint="eastAsia" w:ascii="宋体" w:hAnsi="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Cs w:val="21"/>
                <w:highlight w:val="none"/>
              </w:rPr>
              <w:t>限定最长修理周期</w:t>
            </w:r>
            <w:r>
              <w:rPr>
                <w:rFonts w:hint="eastAsia" w:ascii="宋体" w:hAnsi="宋体" w:cs="宋体"/>
                <w:color w:val="auto"/>
                <w:szCs w:val="21"/>
                <w:highlight w:val="none"/>
                <w:lang w:val="en-US" w:eastAsia="zh-CN"/>
              </w:rPr>
              <w:t>22</w:t>
            </w:r>
            <w:r>
              <w:rPr>
                <w:rFonts w:hint="eastAsia" w:ascii="宋体" w:hAnsi="宋体" w:cs="宋体"/>
                <w:color w:val="auto"/>
                <w:szCs w:val="21"/>
                <w:highlight w:val="none"/>
              </w:rPr>
              <w:t>日历天(其中坞期</w:t>
            </w:r>
            <w:r>
              <w:rPr>
                <w:rFonts w:hint="eastAsia" w:ascii="宋体" w:hAnsi="宋体" w:cs="宋体"/>
                <w:color w:val="auto"/>
                <w:szCs w:val="21"/>
                <w:highlight w:val="none"/>
                <w:lang w:val="en-US" w:eastAsia="zh-CN"/>
              </w:rPr>
              <w:t>不少于8日历</w:t>
            </w:r>
            <w:r>
              <w:rPr>
                <w:rFonts w:hint="eastAsia" w:ascii="宋体" w:hAnsi="宋体" w:cs="宋体"/>
                <w:color w:val="auto"/>
                <w:szCs w:val="21"/>
                <w:highlight w:val="none"/>
              </w:rPr>
              <w:t>天)，预计进厂时间2026年3月</w:t>
            </w:r>
            <w:r>
              <w:rPr>
                <w:rFonts w:hint="eastAsia" w:ascii="宋体" w:hAnsi="宋体" w:cs="宋体"/>
                <w:color w:val="auto"/>
                <w:szCs w:val="21"/>
                <w:highlight w:val="none"/>
                <w:lang w:val="en-US" w:eastAsia="zh-CN"/>
              </w:rPr>
              <w:t>上</w:t>
            </w:r>
            <w:r>
              <w:rPr>
                <w:rFonts w:hint="eastAsia" w:ascii="宋体" w:hAnsi="宋体" w:cs="宋体"/>
                <w:color w:val="auto"/>
                <w:szCs w:val="21"/>
                <w:highlight w:val="none"/>
              </w:rPr>
              <w:t>旬</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自船舶进厂后第二天开始计算</w:t>
            </w:r>
            <w:r>
              <w:rPr>
                <w:rFonts w:hint="eastAsia" w:ascii="宋体" w:hAnsi="宋体" w:cs="宋体"/>
                <w:color w:val="auto"/>
                <w:szCs w:val="21"/>
                <w:highlight w:val="none"/>
              </w:rPr>
              <w:t>。投标人根据修理项目内容可以自行确定修理周期，但不能超过业主限定期限。</w:t>
            </w: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Cs w:val="21"/>
                <w:highlight w:val="none"/>
              </w:rPr>
              <w:t>★</w:t>
            </w:r>
            <w:r>
              <w:rPr>
                <w:rFonts w:hint="eastAsia" w:cs="Times New Roman"/>
                <w:color w:val="auto"/>
                <w:highlight w:val="none"/>
                <w:lang w:val="en-US" w:eastAsia="zh-CN"/>
              </w:rPr>
              <w:t>3</w:t>
            </w:r>
          </w:p>
        </w:tc>
        <w:tc>
          <w:tcPr>
            <w:tcW w:w="471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1"/>
              <w:pageBreakBefore w:val="0"/>
              <w:tabs>
                <w:tab w:val="left" w:pos="540"/>
              </w:tabs>
              <w:kinsoku/>
              <w:wordWrap/>
              <w:overflowPunct/>
              <w:topLinePunct w:val="0"/>
              <w:bidi w:val="0"/>
              <w:spacing w:beforeLines="0" w:afterLines="0" w:line="360" w:lineRule="auto"/>
              <w:ind w:left="0" w:leftChars="0" w:firstLine="0" w:firstLineChars="0"/>
              <w:textAlignment w:val="auto"/>
              <w:rPr>
                <w:rFonts w:hint="eastAsia" w:ascii="宋体" w:hAnsi="宋体" w:cs="宋体"/>
                <w:color w:val="auto"/>
                <w:szCs w:val="21"/>
                <w:highlight w:val="none"/>
              </w:rPr>
            </w:pPr>
            <w:r>
              <w:rPr>
                <w:rFonts w:hint="eastAsia" w:ascii="宋体" w:hAnsi="宋体" w:cs="宋体"/>
                <w:color w:val="auto"/>
                <w:szCs w:val="21"/>
                <w:highlight w:val="none"/>
              </w:rPr>
              <w:t>付款方式</w:t>
            </w:r>
          </w:p>
          <w:p>
            <w:pPr>
              <w:pStyle w:val="11"/>
              <w:pageBreakBefore w:val="0"/>
              <w:tabs>
                <w:tab w:val="left" w:pos="540"/>
              </w:tabs>
              <w:kinsoku/>
              <w:wordWrap/>
              <w:overflowPunct/>
              <w:topLinePunct w:val="0"/>
              <w:bidi w:val="0"/>
              <w:spacing w:beforeLines="0" w:afterLines="0" w:line="360" w:lineRule="auto"/>
              <w:ind w:left="0" w:leftChars="0" w:firstLine="0" w:firstLineChars="0"/>
              <w:textAlignment w:val="auto"/>
              <w:rPr>
                <w:rFonts w:hAnsi="宋体"/>
                <w:color w:val="auto"/>
                <w:sz w:val="21"/>
                <w:szCs w:val="21"/>
                <w:highlight w:val="none"/>
              </w:rPr>
            </w:pPr>
            <w:r>
              <w:rPr>
                <w:rFonts w:hAnsi="宋体"/>
                <w:color w:val="auto"/>
                <w:sz w:val="21"/>
                <w:szCs w:val="21"/>
                <w:highlight w:val="none"/>
              </w:rPr>
              <w:t>1、双方的全部往来结算方式，均凭正式发票或收据通过银行进行结算。方式可采用银行电汇或银行承兑汇票结算，不采取现金结算。</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Ansi="宋体"/>
                <w:color w:val="auto"/>
                <w:sz w:val="21"/>
                <w:szCs w:val="21"/>
                <w:highlight w:val="none"/>
              </w:rPr>
              <w:t>2</w:t>
            </w:r>
            <w:r>
              <w:rPr>
                <w:rFonts w:hint="default" w:hAnsi="宋体"/>
                <w:color w:val="auto"/>
                <w:sz w:val="21"/>
                <w:szCs w:val="21"/>
                <w:highlight w:val="none"/>
              </w:rPr>
              <w:t>、</w:t>
            </w:r>
            <w:r>
              <w:rPr>
                <w:rFonts w:hAnsi="宋体"/>
                <w:color w:val="auto"/>
                <w:sz w:val="21"/>
                <w:szCs w:val="21"/>
                <w:highlight w:val="none"/>
              </w:rPr>
              <w:t>船舶维修完成经招标人验收合格后，修理结束交船并提供有关检修报告等技术资料后，双方根据第三方“公估公司”的审核价格对该次维修费用总额进行核对确认，中标人向招标人出具符合税务部门规范的全额增值税专用发票，税率为13%，招标人收到前述发票后在二十天内支付中标人该单次维修费总额90%的维修费，剩余10%的维修费作为质保金。质保期满后，经招标人确认，在固定件质保期6个月内确未发现维修质量问题，设备运转正常，招标人应当凭中标人出具的有效收据，将质保金无息付给中标人。</w:t>
            </w: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4</w:t>
            </w:r>
          </w:p>
        </w:tc>
        <w:tc>
          <w:tcPr>
            <w:tcW w:w="471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合同签订</w:t>
            </w:r>
            <w:r>
              <w:rPr>
                <w:rFonts w:hint="eastAsia" w:ascii="宋体" w:hAnsi="宋体" w:cs="宋体"/>
                <w:color w:val="auto"/>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Cs w:val="21"/>
                <w:highlight w:val="none"/>
              </w:rPr>
              <w:t>本项目最终合同由宁波</w:t>
            </w:r>
            <w:r>
              <w:rPr>
                <w:rFonts w:hint="eastAsia" w:ascii="宋体" w:hAnsi="宋体" w:cs="宋体"/>
                <w:color w:val="auto"/>
                <w:szCs w:val="21"/>
                <w:highlight w:val="none"/>
                <w:lang w:val="en-US" w:eastAsia="zh-CN"/>
              </w:rPr>
              <w:t>油港轮驳</w:t>
            </w:r>
            <w:r>
              <w:rPr>
                <w:rFonts w:hint="eastAsia" w:ascii="宋体" w:hAnsi="宋体" w:cs="宋体"/>
                <w:color w:val="auto"/>
                <w:szCs w:val="21"/>
                <w:highlight w:val="none"/>
              </w:rPr>
              <w:t>有限公司与中标单位直接签订。</w:t>
            </w: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47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15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47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4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bl>
    <w:p>
      <w:pPr>
        <w:pageBreakBefore w:val="0"/>
        <w:kinsoku/>
        <w:wordWrap/>
        <w:overflowPunct/>
        <w:topLinePunct w:val="0"/>
        <w:bidi w:val="0"/>
        <w:spacing w:line="360" w:lineRule="auto"/>
        <w:ind w:firstLine="0" w:firstLineChars="0"/>
        <w:textAlignment w:val="auto"/>
        <w:rPr>
          <w:rFonts w:hint="default"/>
          <w:color w:val="auto"/>
          <w:highlight w:val="none"/>
        </w:rPr>
      </w:pPr>
      <w:r>
        <w:rPr>
          <w:rFonts w:hint="default" w:ascii="Times New Roman" w:hAnsi="Times New Roman" w:cs="Times New Roman"/>
          <w:color w:val="auto"/>
          <w:highlight w:val="none"/>
        </w:rPr>
        <w:t>注：主要针对招标文件的“商务要求”内容逐条响应，并在“偏离情况”栏注明“正偏离”、“负偏离”或“无偏离”</w:t>
      </w:r>
      <w:r>
        <w:rPr>
          <w:rFonts w:hint="eastAsia" w:cs="Times New Roman"/>
          <w:color w:val="auto"/>
          <w:highlight w:val="none"/>
          <w:lang w:eastAsia="zh-CN"/>
        </w:rPr>
        <w:t>，</w:t>
      </w:r>
      <w:r>
        <w:rPr>
          <w:rFonts w:hint="eastAsia"/>
          <w:color w:val="auto"/>
          <w:highlight w:val="none"/>
          <w:lang w:val="en-US" w:eastAsia="zh-CN"/>
        </w:rPr>
        <w:t>如未注明，招标人则视投标人完全接受和满足招标文件规定的要求。</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法定代表人或授权代表（签章）：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投标人名称（盖章）：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日期：  年   月   日</w:t>
      </w:r>
    </w:p>
    <w:p>
      <w:pPr>
        <w:pageBreakBefore w:val="0"/>
        <w:kinsoku/>
        <w:wordWrap/>
        <w:overflowPunct/>
        <w:topLinePunct w:val="0"/>
        <w:bidi w:val="0"/>
        <w:adjustRightInd w:val="0"/>
        <w:snapToGrid w:val="0"/>
        <w:spacing w:line="360" w:lineRule="auto"/>
        <w:textAlignment w:val="auto"/>
        <w:rPr>
          <w:rFonts w:hint="default" w:ascii="Times New Roman" w:hAnsi="Times New Roman" w:cs="Times New Roman"/>
          <w:color w:val="auto"/>
          <w:sz w:val="24"/>
          <w:highlight w:val="none"/>
        </w:rPr>
      </w:pPr>
    </w:p>
    <w:p>
      <w:pPr>
        <w:pageBreakBefore w:val="0"/>
        <w:kinsoku/>
        <w:wordWrap/>
        <w:overflowPunct/>
        <w:topLinePunct w:val="0"/>
        <w:bidi w:val="0"/>
        <w:adjustRightInd w:val="0"/>
        <w:snapToGrid w:val="0"/>
        <w:spacing w:line="360" w:lineRule="auto"/>
        <w:textAlignment w:val="auto"/>
        <w:rPr>
          <w:rFonts w:hint="default" w:ascii="Times New Roman" w:hAnsi="Times New Roman" w:cs="Times New Roman"/>
          <w:color w:val="auto"/>
          <w:sz w:val="24"/>
          <w:highlight w:val="none"/>
        </w:rPr>
      </w:pP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br w:type="page"/>
      </w:r>
      <w:r>
        <w:rPr>
          <w:rFonts w:hint="eastAsia" w:cs="Times New Roman"/>
          <w:color w:val="auto"/>
          <w:sz w:val="21"/>
          <w:szCs w:val="21"/>
          <w:highlight w:val="none"/>
          <w:lang w:val="en-US" w:eastAsia="zh-CN"/>
        </w:rPr>
        <w:t xml:space="preserve">2. </w:t>
      </w:r>
      <w:r>
        <w:rPr>
          <w:rFonts w:hint="default" w:ascii="Times New Roman" w:hAnsi="Times New Roman" w:cs="Times New Roman"/>
          <w:color w:val="auto"/>
          <w:sz w:val="21"/>
          <w:szCs w:val="21"/>
          <w:highlight w:val="none"/>
        </w:rPr>
        <w:t>技术响应表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技术响应表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招标编号：                                     项目名称：</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1200"/>
        <w:gridCol w:w="2669"/>
        <w:gridCol w:w="2115"/>
        <w:gridCol w:w="2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bookmarkStart w:id="45" w:name="_Toc51656393"/>
            <w:bookmarkStart w:id="46" w:name="_Toc12199"/>
            <w:bookmarkStart w:id="47" w:name="_Toc83554784"/>
            <w:bookmarkStart w:id="48" w:name="_Toc24082"/>
            <w:bookmarkStart w:id="49" w:name="_Toc83476753"/>
            <w:r>
              <w:rPr>
                <w:rFonts w:hint="default" w:ascii="Times New Roman" w:hAnsi="Times New Roman" w:cs="Times New Roman"/>
                <w:color w:val="auto"/>
                <w:highlight w:val="none"/>
              </w:rPr>
              <w:t>条款号</w:t>
            </w:r>
            <w:bookmarkEnd w:id="45"/>
            <w:bookmarkEnd w:id="46"/>
            <w:bookmarkEnd w:id="47"/>
            <w:bookmarkEnd w:id="48"/>
            <w:bookmarkEnd w:id="49"/>
          </w:p>
        </w:tc>
        <w:tc>
          <w:tcPr>
            <w:tcW w:w="12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bookmarkStart w:id="50" w:name="_Toc21048"/>
            <w:bookmarkStart w:id="51" w:name="_Toc26003"/>
            <w:bookmarkStart w:id="52" w:name="_Toc51656394"/>
            <w:bookmarkStart w:id="53" w:name="_Toc83554785"/>
            <w:bookmarkStart w:id="54" w:name="_Toc83476754"/>
            <w:r>
              <w:rPr>
                <w:rFonts w:hint="default" w:ascii="Times New Roman" w:hAnsi="Times New Roman" w:cs="Times New Roman"/>
                <w:color w:val="auto"/>
                <w:highlight w:val="none"/>
              </w:rPr>
              <w:t>名称</w:t>
            </w:r>
            <w:bookmarkEnd w:id="50"/>
            <w:bookmarkEnd w:id="51"/>
            <w:bookmarkEnd w:id="52"/>
            <w:bookmarkEnd w:id="53"/>
            <w:bookmarkEnd w:id="54"/>
          </w:p>
        </w:tc>
        <w:tc>
          <w:tcPr>
            <w:tcW w:w="2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bookmarkStart w:id="55" w:name="_Toc27169"/>
            <w:bookmarkStart w:id="56" w:name="_Toc83554786"/>
            <w:bookmarkStart w:id="57" w:name="_Toc51656395"/>
            <w:bookmarkStart w:id="58" w:name="_Toc83476755"/>
            <w:bookmarkStart w:id="59" w:name="_Toc16766"/>
            <w:r>
              <w:rPr>
                <w:rFonts w:hint="default" w:ascii="Times New Roman" w:hAnsi="Times New Roman" w:cs="Times New Roman"/>
                <w:color w:val="auto"/>
                <w:highlight w:val="none"/>
              </w:rPr>
              <w:t>招标</w:t>
            </w:r>
            <w:r>
              <w:rPr>
                <w:rFonts w:hint="eastAsia" w:cs="Times New Roman"/>
                <w:color w:val="auto"/>
                <w:highlight w:val="none"/>
                <w:lang w:val="en-US" w:eastAsia="zh-CN"/>
              </w:rPr>
              <w:t>文件</w:t>
            </w:r>
            <w:r>
              <w:rPr>
                <w:rFonts w:hint="default" w:ascii="Times New Roman" w:hAnsi="Times New Roman" w:cs="Times New Roman"/>
                <w:color w:val="auto"/>
                <w:highlight w:val="none"/>
              </w:rPr>
              <w:t>技术需求</w:t>
            </w:r>
            <w:bookmarkEnd w:id="55"/>
            <w:bookmarkEnd w:id="56"/>
            <w:bookmarkEnd w:id="57"/>
            <w:bookmarkEnd w:id="58"/>
            <w:bookmarkEnd w:id="59"/>
          </w:p>
        </w:tc>
        <w:tc>
          <w:tcPr>
            <w:tcW w:w="211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bookmarkStart w:id="60" w:name="_Toc83554787"/>
            <w:bookmarkStart w:id="61" w:name="_Toc18614"/>
            <w:bookmarkStart w:id="62" w:name="_Toc51656396"/>
            <w:bookmarkStart w:id="63" w:name="_Toc83476756"/>
            <w:bookmarkStart w:id="64" w:name="_Toc26220"/>
            <w:r>
              <w:rPr>
                <w:rFonts w:hint="default" w:ascii="Times New Roman" w:hAnsi="Times New Roman" w:cs="Times New Roman"/>
                <w:color w:val="auto"/>
                <w:highlight w:val="none"/>
              </w:rPr>
              <w:t>投标人的承诺和说明</w:t>
            </w:r>
            <w:bookmarkEnd w:id="60"/>
            <w:bookmarkEnd w:id="61"/>
            <w:bookmarkEnd w:id="62"/>
            <w:bookmarkEnd w:id="63"/>
            <w:bookmarkEnd w:id="64"/>
          </w:p>
        </w:tc>
        <w:tc>
          <w:tcPr>
            <w:tcW w:w="215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bookmarkStart w:id="65" w:name="_Toc83476757"/>
            <w:bookmarkStart w:id="66" w:name="_Toc30797"/>
            <w:bookmarkStart w:id="67" w:name="_Toc51656397"/>
            <w:bookmarkStart w:id="68" w:name="_Toc83554788"/>
            <w:bookmarkStart w:id="69" w:name="_Toc28653"/>
            <w:r>
              <w:rPr>
                <w:rFonts w:hint="default" w:ascii="Times New Roman" w:hAnsi="Times New Roman" w:cs="Times New Roman"/>
                <w:color w:val="auto"/>
                <w:highlight w:val="none"/>
              </w:rPr>
              <w:t>偏离情况</w:t>
            </w:r>
            <w:bookmarkEnd w:id="65"/>
            <w:bookmarkEnd w:id="66"/>
            <w:bookmarkEnd w:id="67"/>
            <w:bookmarkEnd w:id="68"/>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8"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8"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12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669"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15"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c>
          <w:tcPr>
            <w:tcW w:w="2157"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w:t>
      </w:r>
      <w:r>
        <w:rPr>
          <w:rFonts w:hint="eastAsia" w:cs="Times New Roman"/>
          <w:color w:val="auto"/>
          <w:highlight w:val="none"/>
          <w:lang w:val="en-US" w:eastAsia="zh-CN"/>
        </w:rPr>
        <w:t>对招标文件的技术需求</w:t>
      </w:r>
      <w:r>
        <w:rPr>
          <w:rFonts w:hint="default" w:ascii="Times New Roman" w:hAnsi="Times New Roman" w:cs="Times New Roman"/>
          <w:color w:val="auto"/>
          <w:highlight w:val="none"/>
        </w:rPr>
        <w:t>进行</w:t>
      </w:r>
      <w:r>
        <w:rPr>
          <w:rFonts w:hint="eastAsia" w:cs="Times New Roman"/>
          <w:color w:val="auto"/>
          <w:highlight w:val="none"/>
          <w:lang w:eastAsia="zh-CN"/>
        </w:rPr>
        <w:t>响应</w:t>
      </w:r>
      <w:r>
        <w:rPr>
          <w:rFonts w:hint="default" w:ascii="Times New Roman" w:hAnsi="Times New Roman" w:cs="Times New Roman"/>
          <w:color w:val="auto"/>
          <w:highlight w:val="none"/>
        </w:rPr>
        <w:t>，在“偏离情况”栏注明“正偏离”、“负偏离”或“无偏离”</w:t>
      </w:r>
      <w:r>
        <w:rPr>
          <w:rFonts w:hint="eastAsia" w:cs="Times New Roman"/>
          <w:color w:val="auto"/>
          <w:highlight w:val="none"/>
          <w:lang w:eastAsia="zh-CN"/>
        </w:rPr>
        <w:t>，</w:t>
      </w:r>
      <w:r>
        <w:rPr>
          <w:rFonts w:hint="eastAsia"/>
          <w:color w:val="auto"/>
          <w:highlight w:val="none"/>
          <w:lang w:val="en-US" w:eastAsia="zh-CN"/>
        </w:rPr>
        <w:t>如未注明，招标人则视投标人完全接受和满足招标文件规定的要求。</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法定代表人或授权代表（</w:t>
      </w:r>
      <w:r>
        <w:rPr>
          <w:rFonts w:hint="eastAsia" w:cs="Times New Roman"/>
          <w:color w:val="auto"/>
          <w:highlight w:val="none"/>
          <w:lang w:val="en-US" w:eastAsia="zh-CN"/>
        </w:rPr>
        <w:t>签章</w:t>
      </w:r>
      <w:r>
        <w:rPr>
          <w:rFonts w:hint="default" w:ascii="Times New Roman" w:hAnsi="Times New Roman" w:cs="Times New Roman"/>
          <w:color w:val="auto"/>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投标人名称（盖章）：</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日期：  年   月   日</w:t>
      </w:r>
    </w:p>
    <w:p>
      <w:pPr>
        <w:keepNext w:val="0"/>
        <w:keepLines w:val="0"/>
        <w:pageBreakBefore w:val="0"/>
        <w:widowControl w:val="0"/>
        <w:kinsoku/>
        <w:wordWrap/>
        <w:overflowPunct/>
        <w:topLinePunct w:val="0"/>
        <w:autoSpaceDE/>
        <w:autoSpaceDN/>
        <w:bidi w:val="0"/>
        <w:adjustRightInd/>
        <w:snapToGrid/>
        <w:spacing w:before="156" w:beforeLines="50" w:line="360" w:lineRule="auto"/>
        <w:ind w:left="0" w:leftChars="0" w:firstLine="0" w:firstLineChars="0"/>
        <w:jc w:val="both"/>
        <w:textAlignment w:val="auto"/>
        <w:rPr>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default" w:ascii="Times New Roman" w:hAnsi="Times New Roman" w:cs="Times New Roman"/>
          <w:color w:val="auto"/>
          <w:highlight w:val="none"/>
        </w:rPr>
      </w:pP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szCs w:val="21"/>
          <w:highlight w:val="none"/>
          <w:lang w:val="zh-CN"/>
        </w:rPr>
        <w:br w:type="page"/>
      </w:r>
      <w:r>
        <w:rPr>
          <w:rFonts w:hint="eastAsia" w:cs="Times New Roman"/>
          <w:color w:val="auto"/>
          <w:highlight w:val="none"/>
          <w:lang w:val="en-US" w:eastAsia="zh-CN"/>
        </w:rPr>
        <w:t xml:space="preserve">3. </w:t>
      </w:r>
      <w:r>
        <w:rPr>
          <w:rFonts w:hint="default" w:ascii="Times New Roman" w:hAnsi="Times New Roman" w:cs="Times New Roman"/>
          <w:color w:val="auto"/>
          <w:highlight w:val="none"/>
          <w:lang w:val="zh-CN"/>
        </w:rPr>
        <w:t>业绩</w:t>
      </w:r>
    </w:p>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szCs w:val="21"/>
          <w:highlight w:val="none"/>
        </w:rPr>
      </w:pPr>
      <w:r>
        <w:rPr>
          <w:rFonts w:hint="default" w:ascii="Times New Roman" w:hAnsi="Times New Roman" w:cs="Times New Roman"/>
          <w:b/>
          <w:bCs/>
          <w:color w:val="auto"/>
          <w:highlight w:val="none"/>
        </w:rPr>
        <w:t>同类项目业绩表</w:t>
      </w:r>
    </w:p>
    <w:p>
      <w:pPr>
        <w:pageBreakBefore w:val="0"/>
        <w:kinsoku/>
        <w:wordWrap/>
        <w:overflowPunct/>
        <w:topLinePunct w:val="0"/>
        <w:bidi w:val="0"/>
        <w:snapToGrid w:val="0"/>
        <w:spacing w:before="50" w:after="50" w:line="360" w:lineRule="auto"/>
        <w:ind w:firstLine="210" w:firstLineChars="100"/>
        <w:textAlignment w:val="auto"/>
        <w:rPr>
          <w:rFonts w:hint="default" w:ascii="Times New Roman" w:hAnsi="Times New Roman" w:cs="Times New Roman"/>
          <w:color w:val="auto"/>
          <w:szCs w:val="21"/>
          <w:highlight w:val="none"/>
          <w:u w:val="single"/>
        </w:rPr>
      </w:pPr>
    </w:p>
    <w:tbl>
      <w:tblPr>
        <w:tblStyle w:val="16"/>
        <w:tblW w:w="8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1223"/>
        <w:gridCol w:w="1639"/>
        <w:gridCol w:w="1223"/>
        <w:gridCol w:w="2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center"/>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项目名称</w:t>
            </w:r>
          </w:p>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（主要实施内容）</w:t>
            </w:r>
          </w:p>
        </w:tc>
        <w:tc>
          <w:tcPr>
            <w:tcW w:w="1223" w:type="dxa"/>
            <w:noWrap w:val="0"/>
            <w:vAlign w:val="center"/>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采购方</w:t>
            </w:r>
          </w:p>
        </w:tc>
        <w:tc>
          <w:tcPr>
            <w:tcW w:w="1639" w:type="dxa"/>
            <w:noWrap w:val="0"/>
            <w:vAlign w:val="center"/>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合同签订时间</w:t>
            </w:r>
          </w:p>
        </w:tc>
        <w:tc>
          <w:tcPr>
            <w:tcW w:w="1223" w:type="dxa"/>
            <w:noWrap w:val="0"/>
            <w:vAlign w:val="center"/>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合同价</w:t>
            </w:r>
          </w:p>
        </w:tc>
        <w:tc>
          <w:tcPr>
            <w:tcW w:w="2146" w:type="dxa"/>
            <w:noWrap w:val="0"/>
            <w:vAlign w:val="center"/>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联系人、联系方式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639"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2146"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639"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2146"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639"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2146"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639"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2146"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891"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639"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1223"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c>
          <w:tcPr>
            <w:tcW w:w="2146" w:type="dxa"/>
            <w:noWrap w:val="0"/>
            <w:vAlign w:val="top"/>
          </w:tcPr>
          <w:p>
            <w:pPr>
              <w:pageBreakBefore w:val="0"/>
              <w:kinsoku/>
              <w:wordWrap/>
              <w:overflowPunct/>
              <w:topLinePunct w:val="0"/>
              <w:bidi w:val="0"/>
              <w:spacing w:line="360" w:lineRule="auto"/>
              <w:ind w:firstLine="0" w:firstLineChars="0"/>
              <w:jc w:val="center"/>
              <w:textAlignment w:val="auto"/>
              <w:rPr>
                <w:rFonts w:hint="default" w:ascii="Times New Roman" w:hAnsi="Times New Roman" w:cs="Times New Roman"/>
                <w:color w:val="auto"/>
                <w:highlight w:val="none"/>
              </w:rPr>
            </w:pPr>
          </w:p>
        </w:tc>
      </w:tr>
    </w:tbl>
    <w:p>
      <w:pPr>
        <w:pageBreakBefore w:val="0"/>
        <w:kinsoku/>
        <w:wordWrap/>
        <w:overflowPunct/>
        <w:topLinePunct w:val="0"/>
        <w:bidi w:val="0"/>
        <w:spacing w:line="360" w:lineRule="auto"/>
        <w:ind w:firstLine="422"/>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注：提供以上业绩合同复印件并加盖公章。</w:t>
      </w:r>
    </w:p>
    <w:p>
      <w:pPr>
        <w:pageBreakBefore w:val="0"/>
        <w:kinsoku/>
        <w:wordWrap/>
        <w:overflowPunct/>
        <w:topLinePunct w:val="0"/>
        <w:bidi w:val="0"/>
        <w:spacing w:line="360" w:lineRule="auto"/>
        <w:ind w:firstLine="422"/>
        <w:textAlignment w:val="auto"/>
        <w:rPr>
          <w:rFonts w:hint="default" w:ascii="Times New Roman" w:hAnsi="Times New Roman" w:cs="Times New Roman"/>
          <w:b/>
          <w:bCs/>
          <w:color w:val="auto"/>
          <w:highlight w:val="none"/>
          <w:lang w:val="zh-CN"/>
        </w:rPr>
      </w:pPr>
    </w:p>
    <w:p>
      <w:pPr>
        <w:pageBreakBefore w:val="0"/>
        <w:kinsoku/>
        <w:wordWrap/>
        <w:overflowPunct/>
        <w:topLinePunct w:val="0"/>
        <w:bidi w:val="0"/>
        <w:spacing w:line="360" w:lineRule="auto"/>
        <w:ind w:firstLine="422"/>
        <w:textAlignment w:val="auto"/>
        <w:rPr>
          <w:rFonts w:hint="default" w:ascii="Times New Roman" w:hAnsi="Times New Roman" w:cs="Times New Roman"/>
          <w:b/>
          <w:bCs/>
          <w:color w:val="auto"/>
          <w:highlight w:val="none"/>
          <w:lang w:val="zh-CN"/>
        </w:rPr>
      </w:pPr>
    </w:p>
    <w:p>
      <w:pPr>
        <w:pageBreakBefore w:val="0"/>
        <w:kinsoku/>
        <w:wordWrap/>
        <w:overflowPunct/>
        <w:topLinePunct w:val="0"/>
        <w:bidi w:val="0"/>
        <w:spacing w:before="156" w:beforeLines="50" w:line="360" w:lineRule="auto"/>
        <w:ind w:firstLine="42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法定代表人或授权代表（签章）：</w:t>
      </w:r>
    </w:p>
    <w:p>
      <w:pPr>
        <w:pageBreakBefore w:val="0"/>
        <w:kinsoku/>
        <w:wordWrap/>
        <w:overflowPunct/>
        <w:topLinePunct w:val="0"/>
        <w:bidi w:val="0"/>
        <w:spacing w:before="156" w:beforeLines="50" w:line="360" w:lineRule="auto"/>
        <w:ind w:firstLine="42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投标人名称（盖章）：</w:t>
      </w:r>
    </w:p>
    <w:p>
      <w:pPr>
        <w:pageBreakBefore w:val="0"/>
        <w:kinsoku/>
        <w:wordWrap/>
        <w:overflowPunct/>
        <w:topLinePunct w:val="0"/>
        <w:bidi w:val="0"/>
        <w:spacing w:before="156" w:beforeLines="50" w:line="360" w:lineRule="auto"/>
        <w:ind w:firstLine="420"/>
        <w:jc w:val="right"/>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日期：  年   月   日</w:t>
      </w:r>
    </w:p>
    <w:p>
      <w:pPr>
        <w:pageBreakBefore w:val="0"/>
        <w:kinsoku/>
        <w:wordWrap/>
        <w:overflowPunct/>
        <w:topLinePunct w:val="0"/>
        <w:bidi w:val="0"/>
        <w:spacing w:line="360" w:lineRule="auto"/>
        <w:textAlignment w:val="auto"/>
        <w:rPr>
          <w:rFonts w:hint="default"/>
          <w:color w:val="auto"/>
          <w:highlight w:val="none"/>
          <w:lang w:val="zh-CN"/>
        </w:rPr>
      </w:pP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br w:type="page"/>
      </w:r>
      <w:r>
        <w:rPr>
          <w:rFonts w:hint="eastAsia" w:cs="Times New Roman"/>
          <w:color w:val="auto"/>
          <w:highlight w:val="none"/>
          <w:lang w:val="en-US" w:eastAsia="zh-CN"/>
        </w:rPr>
        <w:t xml:space="preserve">4. </w:t>
      </w:r>
      <w:r>
        <w:rPr>
          <w:rFonts w:hint="default" w:ascii="Times New Roman" w:hAnsi="Times New Roman" w:cs="Times New Roman"/>
          <w:color w:val="auto"/>
          <w:highlight w:val="none"/>
          <w:lang w:val="zh-CN"/>
        </w:rPr>
        <w:t>售后服务措施</w:t>
      </w:r>
      <w:r>
        <w:rPr>
          <w:rFonts w:hint="eastAsia" w:cs="Times New Roman"/>
          <w:color w:val="auto"/>
          <w:highlight w:val="none"/>
          <w:lang w:val="zh-CN"/>
        </w:rPr>
        <w:t>；</w:t>
      </w:r>
      <w:r>
        <w:rPr>
          <w:rFonts w:hint="default" w:ascii="Times New Roman" w:hAnsi="Times New Roman" w:cs="Times New Roman"/>
          <w:color w:val="auto"/>
          <w:highlight w:val="none"/>
          <w:lang w:val="zh-CN"/>
        </w:rPr>
        <w:t xml:space="preserve"> </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lang w:val="zh-CN"/>
        </w:rPr>
      </w:pPr>
      <w:r>
        <w:rPr>
          <w:rFonts w:hint="eastAsia" w:cs="Times New Roman"/>
          <w:color w:val="auto"/>
          <w:highlight w:val="none"/>
          <w:lang w:val="en-US" w:eastAsia="zh-CN"/>
        </w:rPr>
        <w:t xml:space="preserve">5. </w:t>
      </w:r>
      <w:r>
        <w:rPr>
          <w:rFonts w:hint="default" w:ascii="Times New Roman" w:hAnsi="Times New Roman" w:cs="Times New Roman"/>
          <w:color w:val="auto"/>
          <w:highlight w:val="none"/>
          <w:lang w:val="zh-CN"/>
        </w:rPr>
        <w:t>商务技术标评审所涉及的其他资料（</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lang w:val="zh-CN"/>
        </w:rPr>
      </w:pPr>
      <w:r>
        <w:rPr>
          <w:rFonts w:hint="eastAsia" w:cs="Times New Roman"/>
          <w:color w:val="auto"/>
          <w:highlight w:val="none"/>
          <w:lang w:val="en-US" w:eastAsia="zh-CN"/>
        </w:rPr>
        <w:t xml:space="preserve">6. </w:t>
      </w:r>
      <w:r>
        <w:rPr>
          <w:rFonts w:hint="default" w:ascii="Times New Roman" w:hAnsi="Times New Roman" w:cs="Times New Roman"/>
          <w:color w:val="auto"/>
          <w:highlight w:val="none"/>
          <w:lang w:val="zh-CN"/>
        </w:rPr>
        <w:t>投标人需要特别说明的其他文件（</w:t>
      </w:r>
      <w:r>
        <w:rPr>
          <w:rFonts w:hint="eastAsia" w:cs="Times New Roman"/>
          <w:color w:val="auto"/>
          <w:highlight w:val="none"/>
          <w:lang w:val="en-US" w:eastAsia="zh-CN"/>
        </w:rPr>
        <w:t>若有，</w:t>
      </w:r>
      <w:r>
        <w:rPr>
          <w:rFonts w:hint="default" w:ascii="Times New Roman" w:hAnsi="Times New Roman" w:cs="Times New Roman"/>
          <w:color w:val="auto"/>
          <w:highlight w:val="none"/>
          <w:lang w:val="zh-CN"/>
        </w:rPr>
        <w:t>格式自拟）。</w:t>
      </w:r>
    </w:p>
    <w:p>
      <w:pPr>
        <w:pStyle w:val="1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p>
    <w:p>
      <w:pPr>
        <w:pStyle w:val="4"/>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r>
        <w:rPr>
          <w:rFonts w:hint="default" w:ascii="Times New Roman" w:hAnsi="Times New Roman" w:cs="Times New Roman"/>
          <w:color w:val="auto"/>
          <w:highlight w:val="none"/>
        </w:rPr>
        <w:t>第三部分：资审文件</w:t>
      </w:r>
    </w:p>
    <w:p>
      <w:pPr>
        <w:pStyle w:val="5"/>
        <w:pageBreakBefore w:val="0"/>
        <w:kinsoku/>
        <w:wordWrap/>
        <w:overflowPunct/>
        <w:topLinePunct w:val="0"/>
        <w:bidi w:val="0"/>
        <w:spacing w:line="360" w:lineRule="auto"/>
        <w:textAlignment w:val="auto"/>
        <w:rPr>
          <w:rFonts w:hint="default" w:ascii="Times New Roman" w:hAnsi="Times New Roman" w:eastAsia="宋体" w:cs="Times New Roman"/>
          <w:b/>
          <w:color w:val="auto"/>
          <w:highlight w:val="none"/>
          <w:lang w:eastAsia="zh-CN"/>
        </w:rPr>
      </w:pPr>
      <w:r>
        <w:rPr>
          <w:rFonts w:hint="eastAsia" w:cs="Times New Roman"/>
          <w:color w:val="auto"/>
          <w:highlight w:val="none"/>
          <w:lang w:val="en-US" w:eastAsia="zh-CN"/>
        </w:rPr>
        <w:t xml:space="preserve">1. </w:t>
      </w:r>
      <w:r>
        <w:rPr>
          <w:rFonts w:hint="default" w:ascii="Times New Roman" w:hAnsi="Times New Roman" w:cs="Times New Roman"/>
          <w:b/>
          <w:color w:val="auto"/>
          <w:highlight w:val="none"/>
          <w:lang w:eastAsia="zh-CN"/>
        </w:rPr>
        <w:t>法定代表人身份证明书</w:t>
      </w:r>
      <w:r>
        <w:rPr>
          <w:rFonts w:hint="default" w:ascii="Times New Roman" w:hAnsi="Times New Roman" w:cs="Times New Roman"/>
          <w:color w:val="auto"/>
          <w:highlight w:val="none"/>
          <w:lang w:val="zh-CN"/>
        </w:rPr>
        <w:t>或法定代表人授权委托书</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法定代表人身份证明书</w:t>
      </w:r>
    </w:p>
    <w:p>
      <w:pPr>
        <w:pageBreakBefore w:val="0"/>
        <w:kinsoku/>
        <w:wordWrap/>
        <w:overflowPunct/>
        <w:topLinePunct w:val="0"/>
        <w:bidi w:val="0"/>
        <w:spacing w:line="360" w:lineRule="auto"/>
        <w:jc w:val="center"/>
        <w:textAlignment w:val="auto"/>
        <w:rPr>
          <w:rFonts w:hint="default" w:ascii="Times New Roman" w:hAnsi="Times New Roman" w:cs="Times New Roman"/>
          <w:b/>
          <w:color w:val="auto"/>
          <w:szCs w:val="21"/>
          <w:highlight w:val="none"/>
        </w:rPr>
      </w:pPr>
    </w:p>
    <w:p>
      <w:pPr>
        <w:pageBreakBefore w:val="0"/>
        <w:kinsoku/>
        <w:wordWrap/>
        <w:overflowPunct/>
        <w:topLinePunct w:val="0"/>
        <w:bidi w:val="0"/>
        <w:spacing w:line="360" w:lineRule="auto"/>
        <w:jc w:val="left"/>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投标人名称：</w:t>
      </w:r>
    </w:p>
    <w:p>
      <w:pPr>
        <w:pageBreakBefore w:val="0"/>
        <w:kinsoku/>
        <w:wordWrap/>
        <w:overflowPunct/>
        <w:topLinePunct w:val="0"/>
        <w:bidi w:val="0"/>
        <w:spacing w:line="360" w:lineRule="auto"/>
        <w:jc w:val="left"/>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单位性质：</w:t>
      </w:r>
    </w:p>
    <w:p>
      <w:pPr>
        <w:pageBreakBefore w:val="0"/>
        <w:kinsoku/>
        <w:wordWrap/>
        <w:overflowPunct/>
        <w:topLinePunct w:val="0"/>
        <w:bidi w:val="0"/>
        <w:spacing w:line="360" w:lineRule="auto"/>
        <w:jc w:val="left"/>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地址：</w:t>
      </w:r>
    </w:p>
    <w:p>
      <w:pPr>
        <w:pageBreakBefore w:val="0"/>
        <w:kinsoku/>
        <w:wordWrap/>
        <w:overflowPunct/>
        <w:topLinePunct w:val="0"/>
        <w:bidi w:val="0"/>
        <w:spacing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成立时间：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日</w:t>
      </w:r>
    </w:p>
    <w:p>
      <w:pPr>
        <w:pageBreakBefore w:val="0"/>
        <w:kinsoku/>
        <w:wordWrap/>
        <w:overflowPunct/>
        <w:topLinePunct w:val="0"/>
        <w:bidi w:val="0"/>
        <w:spacing w:line="360" w:lineRule="auto"/>
        <w:jc w:val="left"/>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经营期限：</w:t>
      </w:r>
    </w:p>
    <w:p>
      <w:pPr>
        <w:pageBreakBefore w:val="0"/>
        <w:kinsoku/>
        <w:wordWrap/>
        <w:overflowPunct/>
        <w:topLinePunct w:val="0"/>
        <w:bidi w:val="0"/>
        <w:spacing w:line="360" w:lineRule="auto"/>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姓名：</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性别：</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年龄：</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职务：</w:t>
      </w:r>
    </w:p>
    <w:p>
      <w:pPr>
        <w:pageBreakBefore w:val="0"/>
        <w:kinsoku/>
        <w:wordWrap/>
        <w:overflowPunct/>
        <w:topLinePunct w:val="0"/>
        <w:bidi w:val="0"/>
        <w:spacing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系</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u w:val="single"/>
        </w:rPr>
        <w:t>投标人名称</w:t>
      </w:r>
      <w:r>
        <w:rPr>
          <w:rFonts w:hint="eastAsia" w:cs="Times New Roman"/>
          <w:color w:val="auto"/>
          <w:szCs w:val="21"/>
          <w:highlight w:val="none"/>
          <w:u w:val="single"/>
          <w:lang w:eastAsia="zh-CN"/>
        </w:rPr>
        <w:t>）</w:t>
      </w:r>
      <w:r>
        <w:rPr>
          <w:rFonts w:hint="default" w:ascii="Times New Roman" w:hAnsi="Times New Roman" w:cs="Times New Roman"/>
          <w:color w:val="auto"/>
          <w:szCs w:val="21"/>
          <w:highlight w:val="none"/>
        </w:rPr>
        <w:t>的法定代表人。</w:t>
      </w:r>
    </w:p>
    <w:p>
      <w:pPr>
        <w:pageBreakBefore w:val="0"/>
        <w:kinsoku/>
        <w:wordWrap/>
        <w:overflowPunct/>
        <w:topLinePunct w:val="0"/>
        <w:bidi w:val="0"/>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特此证明。</w:t>
      </w:r>
    </w:p>
    <w:p>
      <w:pPr>
        <w:pageBreakBefore w:val="0"/>
        <w:kinsoku/>
        <w:wordWrap/>
        <w:overflowPunct/>
        <w:topLinePunct w:val="0"/>
        <w:bidi w:val="0"/>
        <w:spacing w:line="360" w:lineRule="auto"/>
        <w:ind w:firstLine="411" w:firstLineChars="196"/>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附：法定代表人身份证</w:t>
      </w:r>
      <w:r>
        <w:rPr>
          <w:rFonts w:hint="default" w:ascii="Times New Roman" w:hAnsi="Times New Roman" w:cs="Times New Roman"/>
          <w:color w:val="auto"/>
          <w:szCs w:val="21"/>
          <w:highlight w:val="none"/>
          <w:lang w:val="en-US" w:eastAsia="zh-CN"/>
        </w:rPr>
        <w:t>正反面</w:t>
      </w:r>
      <w:r>
        <w:rPr>
          <w:rFonts w:hint="default" w:ascii="Times New Roman" w:hAnsi="Times New Roman" w:cs="Times New Roman"/>
          <w:color w:val="auto"/>
          <w:szCs w:val="21"/>
          <w:highlight w:val="none"/>
        </w:rPr>
        <w:t>复印件。</w:t>
      </w:r>
    </w:p>
    <w:p>
      <w:pPr>
        <w:pageBreakBefore w:val="0"/>
        <w:kinsoku/>
        <w:wordWrap/>
        <w:overflowPunct/>
        <w:topLinePunct w:val="0"/>
        <w:bidi w:val="0"/>
        <w:spacing w:line="360" w:lineRule="auto"/>
        <w:ind w:firstLine="411" w:firstLineChars="196"/>
        <w:textAlignment w:val="auto"/>
        <w:rPr>
          <w:rFonts w:hint="default" w:ascii="Times New Roman" w:hAnsi="Times New Roman" w:cs="Times New Roman"/>
          <w:color w:val="auto"/>
          <w:szCs w:val="21"/>
          <w:highlight w:val="none"/>
        </w:rPr>
      </w:pPr>
    </w:p>
    <w:p>
      <w:pPr>
        <w:keepNext w:val="0"/>
        <w:keepLines w:val="0"/>
        <w:pageBreakBefore w:val="0"/>
        <w:widowControl/>
        <w:kinsoku/>
        <w:wordWrap/>
        <w:overflowPunct/>
        <w:topLinePunct w:val="0"/>
        <w:autoSpaceDE/>
        <w:autoSpaceDN/>
        <w:bidi w:val="0"/>
        <w:adjustRightInd/>
        <w:snapToGrid/>
        <w:spacing w:before="156" w:beforeLines="50" w:after="156" w:afterLines="50" w:line="360" w:lineRule="auto"/>
        <w:ind w:firstLine="4080"/>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投标人（盖公章）：</w:t>
      </w:r>
    </w:p>
    <w:p>
      <w:pPr>
        <w:keepNext w:val="0"/>
        <w:keepLines w:val="0"/>
        <w:pageBreakBefore w:val="0"/>
        <w:widowControl/>
        <w:tabs>
          <w:tab w:val="left" w:pos="4080"/>
        </w:tabs>
        <w:kinsoku/>
        <w:wordWrap/>
        <w:overflowPunct/>
        <w:topLinePunct w:val="0"/>
        <w:autoSpaceDE/>
        <w:autoSpaceDN/>
        <w:bidi w:val="0"/>
        <w:adjustRightInd/>
        <w:snapToGrid/>
        <w:spacing w:before="156" w:beforeLines="50" w:after="156" w:afterLines="50" w:line="360" w:lineRule="auto"/>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法定代表人</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签章</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Cs w:val="21"/>
          <w:highlight w:val="none"/>
          <w:u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rPr>
        <w:t>年</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rPr>
        <w:t>月</w:t>
      </w:r>
      <w:r>
        <w:rPr>
          <w:rFonts w:hint="default" w:ascii="Times New Roman" w:hAnsi="Times New Roman" w:cs="Times New Roman"/>
          <w:color w:val="auto"/>
          <w:szCs w:val="21"/>
          <w:highlight w:val="none"/>
          <w:u w:val="none"/>
          <w:lang w:val="en-US" w:eastAsia="zh-CN"/>
        </w:rPr>
        <w:t xml:space="preserve">   </w:t>
      </w:r>
      <w:r>
        <w:rPr>
          <w:rFonts w:hint="default" w:ascii="Times New Roman" w:hAnsi="Times New Roman" w:cs="Times New Roman"/>
          <w:color w:val="auto"/>
          <w:szCs w:val="21"/>
          <w:highlight w:val="none"/>
          <w:u w:val="none"/>
        </w:rPr>
        <w:t>日</w:t>
      </w:r>
    </w:p>
    <w:p>
      <w:pPr>
        <w:pageBreakBefore w:val="0"/>
        <w:kinsoku/>
        <w:wordWrap/>
        <w:overflowPunct/>
        <w:topLinePunct w:val="0"/>
        <w:bidi w:val="0"/>
        <w:spacing w:line="360" w:lineRule="auto"/>
        <w:ind w:firstLine="3570" w:firstLineChars="1700"/>
        <w:textAlignment w:val="auto"/>
        <w:rPr>
          <w:rFonts w:hint="default" w:ascii="Times New Roman" w:hAnsi="Times New Roman" w:cs="Times New Roman"/>
          <w:color w:val="auto"/>
          <w:szCs w:val="21"/>
          <w:highlight w:val="none"/>
          <w:u w:val="single"/>
        </w:rPr>
      </w:pPr>
    </w:p>
    <w:tbl>
      <w:tblPr>
        <w:tblStyle w:val="16"/>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jc w:val="center"/>
        </w:trPr>
        <w:tc>
          <w:tcPr>
            <w:tcW w:w="8071" w:type="dxa"/>
            <w:noWrap w:val="0"/>
            <w:vAlign w:val="top"/>
          </w:tcPr>
          <w:p>
            <w:pPr>
              <w:pageBreakBefore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szCs w:val="21"/>
                <w:highlight w:val="none"/>
              </w:rPr>
            </w:pPr>
          </w:p>
          <w:p>
            <w:pPr>
              <w:pageBreakBefore w:val="0"/>
              <w:kinsoku/>
              <w:wordWrap/>
              <w:overflowPunct/>
              <w:topLinePunct w:val="0"/>
              <w:bidi w:val="0"/>
              <w:spacing w:line="360" w:lineRule="auto"/>
              <w:jc w:val="center"/>
              <w:textAlignment w:val="auto"/>
              <w:rPr>
                <w:rFonts w:hint="default" w:ascii="Times New Roman" w:hAnsi="Times New Roman" w:cs="Times New Roman"/>
                <w:color w:val="auto"/>
                <w:szCs w:val="21"/>
                <w:highlight w:val="none"/>
              </w:rPr>
            </w:pPr>
          </w:p>
          <w:p>
            <w:pPr>
              <w:pageBreakBefore w:val="0"/>
              <w:kinsoku/>
              <w:wordWrap/>
              <w:overflowPunct/>
              <w:topLinePunct w:val="0"/>
              <w:bidi w:val="0"/>
              <w:spacing w:line="360" w:lineRule="auto"/>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法定代表人身份证正反面复印件</w:t>
            </w:r>
          </w:p>
        </w:tc>
      </w:tr>
    </w:tbl>
    <w:p>
      <w:pPr>
        <w:keepNext w:val="0"/>
        <w:keepLines w:val="0"/>
        <w:pageBreakBefore w:val="0"/>
        <w:widowControl w:val="0"/>
        <w:kinsoku/>
        <w:wordWrap/>
        <w:overflowPunct/>
        <w:topLinePunct w:val="0"/>
        <w:autoSpaceDE/>
        <w:autoSpaceDN/>
        <w:bidi w:val="0"/>
        <w:adjustRightInd/>
        <w:snapToGrid w:val="0"/>
        <w:spacing w:before="156" w:beforeLines="50" w:after="50" w:line="360" w:lineRule="auto"/>
        <w:ind w:firstLine="0" w:firstLineChars="0"/>
        <w:jc w:val="center"/>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br w:type="page"/>
      </w:r>
      <w:r>
        <w:rPr>
          <w:rFonts w:hint="default" w:ascii="Times New Roman" w:hAnsi="Times New Roman" w:cs="Times New Roman"/>
          <w:b/>
          <w:color w:val="auto"/>
          <w:szCs w:val="21"/>
          <w:highlight w:val="none"/>
        </w:rPr>
        <w:t>法定代表人授权委托书</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致</w:t>
      </w:r>
      <w:r>
        <w:rPr>
          <w:rFonts w:hint="default" w:ascii="Times New Roman" w:hAnsi="Times New Roman" w:cs="Times New Roman"/>
          <w:color w:val="auto"/>
          <w:szCs w:val="21"/>
          <w:highlight w:val="none"/>
          <w:u w:val="none"/>
        </w:rPr>
        <w:t>招标人</w:t>
      </w:r>
      <w:r>
        <w:rPr>
          <w:rFonts w:hint="default" w:ascii="Times New Roman" w:hAnsi="Times New Roman" w:cs="Times New Roman"/>
          <w:color w:val="auto"/>
          <w:szCs w:val="21"/>
          <w:highlight w:val="none"/>
        </w:rPr>
        <w:t>：</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我</w:t>
      </w:r>
      <w:r>
        <w:rPr>
          <w:rFonts w:hint="default" w:ascii="Times New Roman" w:hAnsi="Times New Roman" w:cs="Times New Roman"/>
          <w:color w:val="auto"/>
          <w:szCs w:val="21"/>
          <w:highlight w:val="none"/>
          <w:u w:val="single"/>
        </w:rPr>
        <w:t>（姓名）</w:t>
      </w:r>
      <w:r>
        <w:rPr>
          <w:rFonts w:hint="default" w:ascii="Times New Roman" w:hAnsi="Times New Roman" w:cs="Times New Roman"/>
          <w:color w:val="auto"/>
          <w:szCs w:val="21"/>
          <w:highlight w:val="none"/>
        </w:rPr>
        <w:t>系</w:t>
      </w:r>
      <w:r>
        <w:rPr>
          <w:rFonts w:hint="default" w:ascii="Times New Roman" w:hAnsi="Times New Roman" w:cs="Times New Roman"/>
          <w:color w:val="auto"/>
          <w:szCs w:val="21"/>
          <w:highlight w:val="none"/>
          <w:u w:val="single"/>
        </w:rPr>
        <w:t>（投标人名称）</w:t>
      </w:r>
      <w:r>
        <w:rPr>
          <w:rFonts w:hint="default" w:ascii="Times New Roman" w:hAnsi="Times New Roman" w:cs="Times New Roman"/>
          <w:color w:val="auto"/>
          <w:szCs w:val="21"/>
          <w:highlight w:val="none"/>
        </w:rPr>
        <w:t>的法定代表人，现授权委托本单位在职职工</w:t>
      </w:r>
      <w:r>
        <w:rPr>
          <w:rFonts w:hint="default" w:ascii="Times New Roman" w:hAnsi="Times New Roman" w:cs="Times New Roman"/>
          <w:color w:val="auto"/>
          <w:szCs w:val="21"/>
          <w:highlight w:val="none"/>
          <w:u w:val="single"/>
        </w:rPr>
        <w:t>（姓名）</w:t>
      </w:r>
      <w:r>
        <w:rPr>
          <w:rFonts w:hint="default" w:ascii="Times New Roman" w:hAnsi="Times New Roman" w:cs="Times New Roman"/>
          <w:color w:val="auto"/>
          <w:szCs w:val="21"/>
          <w:highlight w:val="none"/>
        </w:rPr>
        <w:t>以我方的名义参加</w:t>
      </w:r>
      <w:r>
        <w:rPr>
          <w:rFonts w:hint="default" w:ascii="Times New Roman" w:hAnsi="Times New Roman" w:cs="Times New Roman"/>
          <w:color w:val="auto"/>
          <w:szCs w:val="21"/>
          <w:highlight w:val="none"/>
          <w:u w:val="single"/>
          <w:lang w:val="en-US" w:eastAsia="zh-CN"/>
        </w:rPr>
        <w:t xml:space="preserve">  </w:t>
      </w:r>
      <w:r>
        <w:rPr>
          <w:rFonts w:hint="eastAsia" w:cs="Times New Roman"/>
          <w:color w:val="auto"/>
          <w:szCs w:val="21"/>
          <w:highlight w:val="none"/>
          <w:u w:val="single"/>
          <w:lang w:val="en-US" w:eastAsia="zh-CN"/>
        </w:rPr>
        <w:t xml:space="preserve">    （项目名称）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rPr>
        <w:t>项目的投标活动，并代表我方全权办理针对上述项目的投标</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开标</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评标</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签约等具体事务和签署相关文件。</w:t>
      </w:r>
    </w:p>
    <w:p>
      <w:pPr>
        <w:pageBreakBefore w:val="0"/>
        <w:kinsoku/>
        <w:wordWrap/>
        <w:overflowPunct/>
        <w:topLinePunct w:val="0"/>
        <w:bidi w:val="0"/>
        <w:snapToGrid w:val="0"/>
        <w:spacing w:before="156" w:beforeLines="50" w:after="5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我方对被授权人的签名事项负全部责任。</w:t>
      </w:r>
    </w:p>
    <w:p>
      <w:pPr>
        <w:pageBreakBefore w:val="0"/>
        <w:kinsoku/>
        <w:wordWrap/>
        <w:overflowPunct/>
        <w:topLinePunct w:val="0"/>
        <w:bidi w:val="0"/>
        <w:snapToGrid w:val="0"/>
        <w:spacing w:before="156" w:beforeLines="50" w:after="50" w:line="360" w:lineRule="auto"/>
        <w:ind w:firstLine="48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在撤销授权的书面通知以前，本授权书一直有效。</w:t>
      </w:r>
      <w:r>
        <w:rPr>
          <w:rFonts w:hint="default" w:ascii="Times New Roman" w:hAnsi="Times New Roman" w:cs="Times New Roman"/>
          <w:color w:val="auto"/>
          <w:szCs w:val="21"/>
          <w:highlight w:val="none"/>
        </w:rPr>
        <w:t>被授权人在授权书有效期内签署的所有文件不因授权的撤销而失效。</w:t>
      </w:r>
    </w:p>
    <w:p>
      <w:pPr>
        <w:pageBreakBefore w:val="0"/>
        <w:kinsoku/>
        <w:wordWrap/>
        <w:overflowPunct/>
        <w:topLinePunct w:val="0"/>
        <w:bidi w:val="0"/>
        <w:snapToGrid w:val="0"/>
        <w:spacing w:before="156" w:beforeLines="50" w:after="50" w:line="360" w:lineRule="auto"/>
        <w:ind w:firstLine="48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被授权人无转委托权，特此委托。</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被授权人（签章）：</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法定代表人（签章）：</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职务：</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职务：</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被授权人</w:t>
      </w:r>
      <w:r>
        <w:rPr>
          <w:rFonts w:hint="default" w:ascii="Times New Roman" w:hAnsi="Times New Roman" w:cs="Times New Roman"/>
          <w:color w:val="auto"/>
          <w:szCs w:val="21"/>
          <w:highlight w:val="none"/>
          <w:lang w:val="en-US" w:eastAsia="zh-CN"/>
        </w:rPr>
        <w:t>手机号码：</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投标人（盖章）：</w:t>
      </w:r>
    </w:p>
    <w:p>
      <w:pPr>
        <w:pageBreakBefore w:val="0"/>
        <w:kinsoku/>
        <w:wordWrap/>
        <w:overflowPunct/>
        <w:topLinePunct w:val="0"/>
        <w:bidi w:val="0"/>
        <w:snapToGrid w:val="0"/>
        <w:spacing w:before="156" w:beforeLines="50" w:after="50" w:line="360" w:lineRule="auto"/>
        <w:textAlignment w:val="auto"/>
        <w:rPr>
          <w:rFonts w:hint="default" w:ascii="Times New Roman" w:hAnsi="Times New Roman" w:cs="Times New Roman"/>
          <w:color w:val="auto"/>
          <w:sz w:val="22"/>
          <w:szCs w:val="22"/>
          <w:highlight w:val="none"/>
        </w:rPr>
      </w:pPr>
      <w:r>
        <w:rPr>
          <w:rFonts w:hint="default" w:ascii="Times New Roman" w:hAnsi="Times New Roman" w:cs="Times New Roman"/>
          <w:color w:val="auto"/>
          <w:szCs w:val="21"/>
          <w:highlight w:val="none"/>
        </w:rPr>
        <w:t>日期：</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日</w:t>
      </w:r>
    </w:p>
    <w:tbl>
      <w:tblPr>
        <w:tblStyle w:val="16"/>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4" w:hRule="atLeast"/>
          <w:jc w:val="center"/>
        </w:trPr>
        <w:tc>
          <w:tcPr>
            <w:tcW w:w="8959" w:type="dxa"/>
            <w:noWrap w:val="0"/>
            <w:vAlign w:val="top"/>
          </w:tcPr>
          <w:p>
            <w:pPr>
              <w:pageBreakBefore w:val="0"/>
              <w:kinsoku/>
              <w:wordWrap/>
              <w:overflowPunct/>
              <w:topLinePunct w:val="0"/>
              <w:bidi w:val="0"/>
              <w:spacing w:line="360" w:lineRule="auto"/>
              <w:textAlignment w:val="auto"/>
              <w:rPr>
                <w:rFonts w:hint="default" w:ascii="Times New Roman" w:hAnsi="Times New Roman" w:cs="Times New Roman"/>
                <w:color w:val="auto"/>
                <w:sz w:val="24"/>
                <w:highlight w:val="none"/>
              </w:rPr>
            </w:pPr>
            <w:bookmarkStart w:id="70" w:name="_Hlk75689155"/>
          </w:p>
          <w:p>
            <w:pPr>
              <w:pageBreakBefore w:val="0"/>
              <w:kinsoku/>
              <w:wordWrap/>
              <w:overflowPunct/>
              <w:topLinePunct w:val="0"/>
              <w:bidi w:val="0"/>
              <w:spacing w:line="360" w:lineRule="auto"/>
              <w:textAlignment w:val="auto"/>
              <w:rPr>
                <w:rFonts w:hint="default" w:ascii="Times New Roman" w:hAnsi="Times New Roman" w:cs="Times New Roman"/>
                <w:color w:val="auto"/>
                <w:sz w:val="24"/>
                <w:highlight w:val="none"/>
              </w:rPr>
            </w:pPr>
          </w:p>
          <w:p>
            <w:pPr>
              <w:pageBreakBefore w:val="0"/>
              <w:kinsoku/>
              <w:wordWrap/>
              <w:overflowPunct/>
              <w:topLinePunct w:val="0"/>
              <w:bidi w:val="0"/>
              <w:spacing w:line="360" w:lineRule="auto"/>
              <w:jc w:val="center"/>
              <w:textAlignment w:val="auto"/>
              <w:rPr>
                <w:rFonts w:hint="default" w:ascii="Times New Roman" w:hAnsi="Times New Roman" w:eastAsia="宋体" w:cs="Times New Roman"/>
                <w:color w:val="auto"/>
                <w:sz w:val="21"/>
                <w:szCs w:val="21"/>
                <w:highlight w:val="none"/>
              </w:rPr>
            </w:pPr>
          </w:p>
          <w:p>
            <w:pPr>
              <w:pageBreakBefore w:val="0"/>
              <w:kinsoku/>
              <w:wordWrap/>
              <w:overflowPunct/>
              <w:topLinePunct w:val="0"/>
              <w:bidi w:val="0"/>
              <w:spacing w:line="360" w:lineRule="auto"/>
              <w:jc w:val="center"/>
              <w:textAlignment w:val="auto"/>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1"/>
                <w:szCs w:val="21"/>
                <w:highlight w:val="none"/>
              </w:rPr>
              <w:t>授权代表身</w:t>
            </w:r>
            <w:r>
              <w:rPr>
                <w:rFonts w:hint="default" w:ascii="Times New Roman" w:hAnsi="Times New Roman" w:cs="Times New Roman"/>
                <w:color w:val="auto"/>
                <w:sz w:val="21"/>
                <w:szCs w:val="21"/>
                <w:highlight w:val="none"/>
              </w:rPr>
              <w:t>份证正反面复印件</w:t>
            </w:r>
          </w:p>
        </w:tc>
      </w:tr>
      <w:bookmarkEnd w:id="70"/>
    </w:tbl>
    <w:p>
      <w:pPr>
        <w:keepNext w:val="0"/>
        <w:keepLines w:val="0"/>
        <w:pageBreakBefore w:val="0"/>
        <w:widowControl w:val="0"/>
        <w:kinsoku/>
        <w:wordWrap/>
        <w:overflowPunct/>
        <w:topLinePunct w:val="0"/>
        <w:autoSpaceDE/>
        <w:autoSpaceDN/>
        <w:bidi w:val="0"/>
        <w:adjustRightInd/>
        <w:snapToGrid/>
        <w:spacing w:after="120" w:line="360" w:lineRule="auto"/>
        <w:ind w:firstLine="422" w:firstLineChars="200"/>
        <w:jc w:val="both"/>
        <w:textAlignment w:val="auto"/>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注：1、如果由投标人法定代表人的授权委托人签署投标文件，须同时提交法定代表人身份证明书和法定代表人授权委托书；</w:t>
      </w:r>
    </w:p>
    <w:p>
      <w:pPr>
        <w:keepNext w:val="0"/>
        <w:keepLines w:val="0"/>
        <w:pageBreakBefore w:val="0"/>
        <w:widowControl w:val="0"/>
        <w:kinsoku/>
        <w:wordWrap/>
        <w:overflowPunct/>
        <w:topLinePunct w:val="0"/>
        <w:autoSpaceDE/>
        <w:autoSpaceDN/>
        <w:bidi w:val="0"/>
        <w:adjustRightInd/>
        <w:snapToGrid/>
        <w:spacing w:after="120" w:line="360" w:lineRule="auto"/>
        <w:ind w:firstLine="422" w:firstLineChars="200"/>
        <w:jc w:val="both"/>
        <w:textAlignment w:val="auto"/>
        <w:rPr>
          <w:rFonts w:hint="default" w:ascii="Times New Roman" w:hAnsi="Times New Roman" w:cs="Times New Roman"/>
          <w:b/>
          <w:bCs/>
          <w:color w:val="auto"/>
          <w:highlight w:val="none"/>
        </w:rPr>
      </w:pPr>
      <w:r>
        <w:rPr>
          <w:rFonts w:hint="default" w:ascii="Times New Roman" w:hAnsi="Times New Roman" w:eastAsia="宋体" w:cs="Times New Roman"/>
          <w:b/>
          <w:bCs/>
          <w:color w:val="auto"/>
          <w:kern w:val="2"/>
          <w:sz w:val="21"/>
          <w:szCs w:val="21"/>
          <w:highlight w:val="none"/>
          <w:lang w:val="en-US" w:eastAsia="zh-CN" w:bidi="ar-SA"/>
        </w:rPr>
        <w:t>2、如果由投标人法定代表人签署投标文件，仅须提交法定代表人身份证明书，无需提交法定代表人授权委托书。</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br w:type="page"/>
      </w:r>
      <w:r>
        <w:rPr>
          <w:rFonts w:hint="eastAsia" w:cs="Times New Roman"/>
          <w:color w:val="auto"/>
          <w:szCs w:val="21"/>
          <w:highlight w:val="none"/>
          <w:lang w:val="en-US" w:eastAsia="zh-CN"/>
        </w:rPr>
        <w:t xml:space="preserve">2. </w:t>
      </w:r>
      <w:r>
        <w:rPr>
          <w:rFonts w:hint="default" w:ascii="Times New Roman" w:hAnsi="Times New Roman" w:cs="Times New Roman"/>
          <w:color w:val="auto"/>
          <w:szCs w:val="21"/>
          <w:highlight w:val="none"/>
        </w:rPr>
        <w:t>有效的营业执照扫描件（加盖公章）；</w:t>
      </w:r>
    </w:p>
    <w:p>
      <w:pPr>
        <w:rPr>
          <w:rFonts w:hint="eastAsia" w:cs="Times New Roman"/>
          <w:color w:val="auto"/>
          <w:highlight w:val="none"/>
          <w:lang w:val="en-US" w:eastAsia="zh-CN"/>
        </w:rPr>
      </w:pPr>
      <w:r>
        <w:rPr>
          <w:rFonts w:hint="eastAsia" w:cs="Times New Roman"/>
          <w:color w:val="auto"/>
          <w:highlight w:val="none"/>
          <w:lang w:val="en-US" w:eastAsia="zh-CN"/>
        </w:rPr>
        <w:br w:type="page"/>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 xml:space="preserve">3. </w:t>
      </w:r>
      <w:r>
        <w:rPr>
          <w:rFonts w:hint="default" w:ascii="Times New Roman" w:hAnsi="Times New Roman" w:cs="Times New Roman"/>
          <w:color w:val="auto"/>
          <w:highlight w:val="none"/>
        </w:rPr>
        <w:t>投标人资格声明函</w:t>
      </w:r>
    </w:p>
    <w:p>
      <w:pPr>
        <w:pStyle w:val="15"/>
        <w:pageBreakBefore w:val="0"/>
        <w:kinsoku/>
        <w:wordWrap/>
        <w:overflowPunct/>
        <w:topLinePunct w:val="0"/>
        <w:bidi w:val="0"/>
        <w:spacing w:line="360" w:lineRule="auto"/>
        <w:ind w:firstLine="0" w:firstLineChars="0"/>
        <w:textAlignment w:val="auto"/>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投标人资格声明函</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（一）我单位：</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1、具有合法有效的营业执照；</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2、具有良好的商业信誉和健全的财务会计制度；</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3、具有履行合同所必需的设备和专业技术能力；</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4、有依法缴纳税收和社会保障资金的良好记录；</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5、参加招标投标活动前三年内，在经营活动中没有重大违法记录；</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6、法律、行政法规规定的其他条件。</w:t>
      </w:r>
    </w:p>
    <w:p>
      <w:pPr>
        <w:pageBreakBefore w:val="0"/>
        <w:kinsoku/>
        <w:wordWrap/>
        <w:overflowPunct/>
        <w:topLinePunct w:val="0"/>
        <w:bidi w:val="0"/>
        <w:spacing w:line="360" w:lineRule="auto"/>
        <w:textAlignment w:val="auto"/>
        <w:rPr>
          <w:rFonts w:hint="eastAsia" w:ascii="Times New Roman" w:hAnsi="Times New Roman" w:eastAsia="宋体" w:cs="Times New Roman"/>
          <w:b/>
          <w:bCs/>
          <w:color w:val="auto"/>
          <w:highlight w:val="none"/>
          <w:lang w:eastAsia="zh-CN"/>
        </w:rPr>
      </w:pPr>
      <w:r>
        <w:rPr>
          <w:rFonts w:hint="default" w:ascii="Times New Roman" w:hAnsi="Times New Roman" w:cs="Times New Roman"/>
          <w:b/>
          <w:bCs/>
          <w:color w:val="auto"/>
          <w:highlight w:val="none"/>
        </w:rPr>
        <w:t>（二）我单位承诺遵守以下要求：</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单位负责人为同一人或者存在直接控股、管理关系的不同投标人，不得同时参加同一合同项下的采购活动。除单一来源采购项目外，为采购项目提供整体设计、规范编制或者项目管理、监理、检测等服务的投标人，不得再参加该采购项目的其他采购活动。</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（三）我单位承诺我司</w:t>
      </w:r>
      <w:r>
        <w:rPr>
          <w:rFonts w:hint="eastAsia" w:cs="Times New Roman"/>
          <w:color w:val="auto"/>
          <w:highlight w:val="none"/>
          <w:lang w:val="en-US" w:eastAsia="zh-CN"/>
        </w:rPr>
        <w:t>具备完成本次招标项目的能力</w:t>
      </w:r>
      <w:r>
        <w:rPr>
          <w:rFonts w:hint="default" w:ascii="Times New Roman" w:hAnsi="Times New Roman" w:cs="Times New Roman"/>
          <w:color w:val="auto"/>
          <w:highlight w:val="none"/>
        </w:rPr>
        <w:t>；</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（四）我单位非联合体投标。</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特此承诺。</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法定代表人或授权代表（签章）：</w:t>
      </w: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投标人名称（盖章）：</w:t>
      </w:r>
    </w:p>
    <w:p>
      <w:pPr>
        <w:pageBreakBefore w:val="0"/>
        <w:kinsoku/>
        <w:wordWrap/>
        <w:overflowPunct/>
        <w:topLinePunct w:val="0"/>
        <w:bidi w:val="0"/>
        <w:spacing w:line="360" w:lineRule="auto"/>
        <w:jc w:val="right"/>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日期：  年   月   日</w:t>
      </w:r>
    </w:p>
    <w:p>
      <w:pPr>
        <w:rPr>
          <w:rFonts w:hint="eastAsia" w:cs="Times New Roman"/>
          <w:color w:val="auto"/>
          <w:highlight w:val="none"/>
          <w:lang w:val="en-US" w:eastAsia="zh-CN"/>
        </w:rPr>
      </w:pPr>
      <w:r>
        <w:rPr>
          <w:rFonts w:hint="eastAsia" w:cs="Times New Roman"/>
          <w:color w:val="auto"/>
          <w:highlight w:val="none"/>
          <w:lang w:val="en-US" w:eastAsia="zh-CN"/>
        </w:rPr>
        <w:br w:type="page"/>
      </w:r>
    </w:p>
    <w:p>
      <w:pPr>
        <w:pStyle w:val="5"/>
        <w:pageBreakBefore w:val="0"/>
        <w:kinsoku/>
        <w:wordWrap/>
        <w:overflowPunct/>
        <w:topLinePunct w:val="0"/>
        <w:bidi w:val="0"/>
        <w:spacing w:line="360" w:lineRule="auto"/>
        <w:textAlignment w:val="auto"/>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 xml:space="preserve">4. </w:t>
      </w:r>
      <w:r>
        <w:rPr>
          <w:rFonts w:hint="default" w:ascii="Times New Roman" w:hAnsi="Times New Roman" w:cs="Times New Roman"/>
          <w:color w:val="auto"/>
          <w:highlight w:val="none"/>
        </w:rPr>
        <w:t>投标人基本情况表</w:t>
      </w:r>
    </w:p>
    <w:p>
      <w:pPr>
        <w:pageBreakBefore w:val="0"/>
        <w:kinsoku/>
        <w:wordWrap/>
        <w:overflowPunct/>
        <w:topLinePunct w:val="0"/>
        <w:bidi w:val="0"/>
        <w:spacing w:line="360" w:lineRule="auto"/>
        <w:jc w:val="center"/>
        <w:textAlignment w:val="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投标人基本情况表</w:t>
      </w:r>
    </w:p>
    <w:tbl>
      <w:tblPr>
        <w:tblStyle w:val="16"/>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1065"/>
        <w:gridCol w:w="218"/>
        <w:gridCol w:w="1195"/>
        <w:gridCol w:w="1169"/>
        <w:gridCol w:w="1231"/>
        <w:gridCol w:w="371"/>
        <w:gridCol w:w="352"/>
        <w:gridCol w:w="285"/>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投标人名称</w:t>
            </w:r>
          </w:p>
        </w:tc>
        <w:tc>
          <w:tcPr>
            <w:tcW w:w="7302" w:type="dxa"/>
            <w:gridSpan w:val="9"/>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注册地址</w:t>
            </w:r>
          </w:p>
        </w:tc>
        <w:tc>
          <w:tcPr>
            <w:tcW w:w="3647" w:type="dxa"/>
            <w:gridSpan w:val="4"/>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60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邮政编码</w:t>
            </w:r>
          </w:p>
        </w:tc>
        <w:tc>
          <w:tcPr>
            <w:tcW w:w="2053"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联系方式</w:t>
            </w:r>
          </w:p>
        </w:tc>
        <w:tc>
          <w:tcPr>
            <w:tcW w:w="128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联系人</w:t>
            </w:r>
          </w:p>
        </w:tc>
        <w:tc>
          <w:tcPr>
            <w:tcW w:w="236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60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电话</w:t>
            </w:r>
          </w:p>
        </w:tc>
        <w:tc>
          <w:tcPr>
            <w:tcW w:w="2053"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28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传真</w:t>
            </w:r>
          </w:p>
        </w:tc>
        <w:tc>
          <w:tcPr>
            <w:tcW w:w="2364"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60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邮箱</w:t>
            </w:r>
          </w:p>
        </w:tc>
        <w:tc>
          <w:tcPr>
            <w:tcW w:w="2053"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w:t>
            </w:r>
          </w:p>
        </w:tc>
        <w:tc>
          <w:tcPr>
            <w:tcW w:w="106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姓名</w:t>
            </w:r>
          </w:p>
        </w:tc>
        <w:tc>
          <w:tcPr>
            <w:tcW w:w="1413"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1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技术职称</w:t>
            </w:r>
          </w:p>
        </w:tc>
        <w:tc>
          <w:tcPr>
            <w:tcW w:w="123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00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电话</w:t>
            </w:r>
          </w:p>
        </w:tc>
        <w:tc>
          <w:tcPr>
            <w:tcW w:w="14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成立时间</w:t>
            </w:r>
          </w:p>
        </w:tc>
        <w:tc>
          <w:tcPr>
            <w:tcW w:w="247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4824" w:type="dxa"/>
            <w:gridSpan w:val="6"/>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营业执照号</w:t>
            </w:r>
          </w:p>
        </w:tc>
        <w:tc>
          <w:tcPr>
            <w:tcW w:w="247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16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其中</w:t>
            </w:r>
          </w:p>
        </w:tc>
        <w:tc>
          <w:tcPr>
            <w:tcW w:w="195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高级职称人员</w:t>
            </w:r>
          </w:p>
        </w:tc>
        <w:tc>
          <w:tcPr>
            <w:tcW w:w="170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注册资金</w:t>
            </w:r>
          </w:p>
        </w:tc>
        <w:tc>
          <w:tcPr>
            <w:tcW w:w="247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16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95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中级职称人员</w:t>
            </w:r>
          </w:p>
        </w:tc>
        <w:tc>
          <w:tcPr>
            <w:tcW w:w="170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开户银行</w:t>
            </w:r>
          </w:p>
        </w:tc>
        <w:tc>
          <w:tcPr>
            <w:tcW w:w="247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16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95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初级职称人员</w:t>
            </w:r>
          </w:p>
        </w:tc>
        <w:tc>
          <w:tcPr>
            <w:tcW w:w="170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账号</w:t>
            </w:r>
          </w:p>
        </w:tc>
        <w:tc>
          <w:tcPr>
            <w:tcW w:w="2478"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sz w:val="21"/>
                <w:szCs w:val="21"/>
                <w:highlight w:val="none"/>
              </w:rPr>
            </w:pPr>
          </w:p>
        </w:tc>
        <w:tc>
          <w:tcPr>
            <w:tcW w:w="116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954" w:type="dxa"/>
            <w:gridSpan w:val="3"/>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c>
          <w:tcPr>
            <w:tcW w:w="1701"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经营范围</w:t>
            </w:r>
          </w:p>
        </w:tc>
        <w:tc>
          <w:tcPr>
            <w:tcW w:w="7302" w:type="dxa"/>
            <w:gridSpan w:val="9"/>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3" w:hRule="atLeast"/>
        </w:trPr>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财务状况</w:t>
            </w:r>
          </w:p>
        </w:tc>
        <w:tc>
          <w:tcPr>
            <w:tcW w:w="7302" w:type="dxa"/>
            <w:gridSpan w:val="9"/>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1、202</w:t>
            </w:r>
            <w:r>
              <w:rPr>
                <w:rFonts w:hint="eastAsia"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年-202</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年的资产负债情况：</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（1）固定资产  _____________ _____________</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（2）流动资产  _____________ _____________  </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2、投标人202</w:t>
            </w:r>
            <w:r>
              <w:rPr>
                <w:rFonts w:hint="eastAsia"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年到202</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年两年的经会计师事务所审计的年度财务报表，包括资产负债表，现金流量表及损益表。</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（1）营业收入  _____________ _____________</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（2）营业利润  _____________ _____________</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（3）利润总额  _____________ _____________    </w:t>
            </w:r>
          </w:p>
          <w:p>
            <w:pPr>
              <w:keepNext w:val="0"/>
              <w:keepLines w:val="0"/>
              <w:pageBreakBefore w:val="0"/>
              <w:widowControl w:val="0"/>
              <w:kinsoku/>
              <w:wordWrap/>
              <w:overflowPunct/>
              <w:topLinePunct w:val="0"/>
              <w:autoSpaceDE/>
              <w:autoSpaceDN/>
              <w:bidi w:val="0"/>
              <w:adjustRightInd/>
              <w:snapToGrid/>
              <w:spacing w:line="360" w:lineRule="auto"/>
              <w:ind w:left="-34" w:leftChars="-16" w:firstLine="0" w:firstLineChars="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（4）净利润    ___________ 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77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备注</w:t>
            </w:r>
          </w:p>
        </w:tc>
        <w:tc>
          <w:tcPr>
            <w:tcW w:w="7302" w:type="dxa"/>
            <w:gridSpan w:val="9"/>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cs="Times New Roman"/>
                <w:b/>
                <w:color w:val="auto"/>
                <w:sz w:val="21"/>
                <w:szCs w:val="21"/>
                <w:highlight w:val="none"/>
              </w:rPr>
            </w:pPr>
          </w:p>
        </w:tc>
      </w:tr>
    </w:tbl>
    <w:p>
      <w:pPr>
        <w:pStyle w:val="15"/>
        <w:pageBreakBefore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sz w:val="21"/>
          <w:szCs w:val="21"/>
          <w:highlight w:val="none"/>
        </w:rPr>
      </w:pPr>
    </w:p>
    <w:p>
      <w:pPr>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p>
    <w:p>
      <w:pPr>
        <w:pageBreakBefore w:val="0"/>
        <w:kinsoku/>
        <w:wordWrap/>
        <w:overflowPunct/>
        <w:topLinePunct w:val="0"/>
        <w:bidi w:val="0"/>
        <w:spacing w:line="360" w:lineRule="auto"/>
        <w:ind w:left="0" w:leftChars="0" w:firstLine="0" w:firstLineChars="0"/>
        <w:textAlignment w:val="auto"/>
        <w:rPr>
          <w:rFonts w:hint="default" w:ascii="Times New Roman" w:hAnsi="Times New Roman" w:cs="Times New Roman"/>
          <w:color w:val="auto"/>
          <w:highlight w:val="none"/>
        </w:rPr>
      </w:pP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 xml:space="preserve">5. </w:t>
      </w:r>
      <w:r>
        <w:rPr>
          <w:rFonts w:hint="default" w:ascii="Times New Roman" w:hAnsi="Times New Roman" w:cs="Times New Roman"/>
          <w:color w:val="auto"/>
          <w:highlight w:val="none"/>
        </w:rPr>
        <w:t>投标保证金缴纳凭证；</w:t>
      </w:r>
    </w:p>
    <w:p>
      <w:pPr>
        <w:pStyle w:val="5"/>
        <w:pageBreakBefore w:val="0"/>
        <w:kinsoku/>
        <w:wordWrap/>
        <w:overflowPunct/>
        <w:topLinePunct w:val="0"/>
        <w:bidi w:val="0"/>
        <w:spacing w:line="360" w:lineRule="auto"/>
        <w:textAlignment w:val="auto"/>
        <w:rPr>
          <w:rFonts w:hint="default" w:ascii="Times New Roman" w:hAnsi="Times New Roman" w:cs="Times New Roman"/>
          <w:color w:val="auto"/>
          <w:highlight w:val="none"/>
          <w:lang w:val="zh-CN"/>
        </w:rPr>
      </w:pPr>
      <w:r>
        <w:rPr>
          <w:rFonts w:hint="eastAsia" w:cs="Times New Roman"/>
          <w:color w:val="auto"/>
          <w:highlight w:val="none"/>
          <w:lang w:val="en-US" w:eastAsia="zh-CN"/>
        </w:rPr>
        <w:t xml:space="preserve">6. </w:t>
      </w:r>
      <w:r>
        <w:rPr>
          <w:rFonts w:hint="default" w:ascii="Times New Roman" w:hAnsi="Times New Roman" w:cs="Times New Roman"/>
          <w:color w:val="auto"/>
          <w:highlight w:val="none"/>
        </w:rPr>
        <w:t>合格投标人的资格要求</w:t>
      </w:r>
      <w:r>
        <w:rPr>
          <w:rFonts w:hint="default" w:ascii="Times New Roman" w:hAnsi="Times New Roman" w:cs="Times New Roman"/>
          <w:color w:val="auto"/>
          <w:highlight w:val="none"/>
          <w:lang w:val="en-US" w:eastAsia="zh-CN"/>
        </w:rPr>
        <w:t>业绩</w:t>
      </w:r>
      <w:r>
        <w:rPr>
          <w:rFonts w:hint="default" w:ascii="Times New Roman" w:hAnsi="Times New Roman" w:cs="Times New Roman"/>
          <w:color w:val="auto"/>
          <w:highlight w:val="none"/>
          <w:lang w:val="zh-CN"/>
        </w:rPr>
        <w:t>证明材料（</w:t>
      </w:r>
      <w:r>
        <w:rPr>
          <w:rFonts w:hint="default" w:ascii="Times New Roman" w:hAnsi="Times New Roman" w:cs="Times New Roman"/>
          <w:color w:val="auto"/>
          <w:highlight w:val="none"/>
          <w:lang w:val="en-US" w:eastAsia="zh-CN"/>
        </w:rPr>
        <w:t>若</w:t>
      </w:r>
      <w:r>
        <w:rPr>
          <w:rFonts w:hint="eastAsia" w:cs="Times New Roman"/>
          <w:color w:val="auto"/>
          <w:highlight w:val="none"/>
          <w:lang w:val="en-US" w:eastAsia="zh-CN"/>
        </w:rPr>
        <w:t>需要</w:t>
      </w:r>
      <w:r>
        <w:rPr>
          <w:rFonts w:hint="default" w:ascii="Times New Roman" w:hAnsi="Times New Roman" w:cs="Times New Roman"/>
          <w:color w:val="auto"/>
          <w:highlight w:val="none"/>
          <w:lang w:val="zh-CN"/>
        </w:rPr>
        <w:t>）；</w:t>
      </w:r>
    </w:p>
    <w:p>
      <w:pPr>
        <w:pageBreakBefore w:val="0"/>
        <w:kinsoku/>
        <w:wordWrap/>
        <w:overflowPunct/>
        <w:topLinePunct w:val="0"/>
        <w:bidi w:val="0"/>
        <w:spacing w:line="360" w:lineRule="auto"/>
        <w:textAlignment w:val="auto"/>
        <w:rPr>
          <w:rFonts w:hint="default" w:ascii="Times New Roman" w:hAnsi="Times New Roman" w:eastAsia="宋体" w:cs="Times New Roman"/>
          <w:b/>
          <w:color w:val="auto"/>
          <w:kern w:val="0"/>
          <w:sz w:val="21"/>
          <w:szCs w:val="24"/>
          <w:highlight w:val="none"/>
          <w:lang w:val="en-US" w:eastAsia="zh-CN" w:bidi="ar-SA"/>
        </w:rPr>
      </w:pPr>
      <w:r>
        <w:rPr>
          <w:rFonts w:hint="eastAsia" w:ascii="Times New Roman" w:hAnsi="Times New Roman" w:eastAsia="宋体" w:cs="Times New Roman"/>
          <w:b/>
          <w:color w:val="auto"/>
          <w:kern w:val="0"/>
          <w:sz w:val="21"/>
          <w:szCs w:val="24"/>
          <w:highlight w:val="none"/>
          <w:lang w:val="en-US" w:eastAsia="zh-CN" w:bidi="ar-SA"/>
        </w:rPr>
        <w:t>7.</w:t>
      </w:r>
      <w:r>
        <w:rPr>
          <w:rFonts w:hint="eastAsia" w:cs="Times New Roman"/>
          <w:b/>
          <w:color w:val="auto"/>
          <w:kern w:val="0"/>
          <w:sz w:val="21"/>
          <w:szCs w:val="24"/>
          <w:highlight w:val="none"/>
          <w:lang w:val="en-US" w:eastAsia="zh-CN" w:bidi="ar-SA"/>
        </w:rPr>
        <w:t xml:space="preserve"> </w:t>
      </w:r>
      <w:r>
        <w:rPr>
          <w:rFonts w:hint="eastAsia" w:ascii="Times New Roman" w:hAnsi="Times New Roman" w:eastAsia="宋体" w:cs="Times New Roman"/>
          <w:b/>
          <w:color w:val="auto"/>
          <w:kern w:val="0"/>
          <w:sz w:val="21"/>
          <w:szCs w:val="24"/>
          <w:highlight w:val="none"/>
          <w:lang w:val="en-US" w:eastAsia="zh-CN" w:bidi="ar-SA"/>
        </w:rPr>
        <w:t>信用中国截图；</w:t>
      </w:r>
    </w:p>
    <w:p>
      <w:pPr>
        <w:pageBreakBefore w:val="0"/>
        <w:widowControl/>
        <w:kinsoku/>
        <w:wordWrap/>
        <w:overflowPunct/>
        <w:topLinePunct w:val="0"/>
        <w:bidi w:val="0"/>
        <w:spacing w:after="120" w:line="360" w:lineRule="auto"/>
        <w:jc w:val="both"/>
        <w:textAlignment w:val="auto"/>
        <w:rPr>
          <w:rFonts w:hint="default" w:ascii="Times New Roman" w:hAnsi="Times New Roman" w:cs="Times New Roman"/>
          <w:color w:val="auto"/>
          <w:highlight w:val="none"/>
        </w:rPr>
      </w:pPr>
      <w:r>
        <w:rPr>
          <w:rFonts w:hint="eastAsia" w:cs="Times New Roman"/>
          <w:color w:val="auto"/>
          <w:highlight w:val="none"/>
          <w:lang w:val="en-US" w:eastAsia="zh-CN"/>
        </w:rPr>
        <w:t xml:space="preserve">8. </w:t>
      </w:r>
      <w:r>
        <w:rPr>
          <w:rFonts w:hint="default" w:ascii="Times New Roman" w:hAnsi="Times New Roman" w:cs="Times New Roman"/>
          <w:color w:val="auto"/>
          <w:highlight w:val="none"/>
        </w:rPr>
        <w:t>招标文件要求的或投标人认为有必要提供的其他情况说明或资质证书（扫描件加盖公章）。</w:t>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pageBreakBefore w:val="0"/>
        <w:widowControl/>
        <w:kinsoku/>
        <w:wordWrap/>
        <w:overflowPunct/>
        <w:topLinePunct w:val="0"/>
        <w:bidi w:val="0"/>
        <w:spacing w:after="120" w:line="360" w:lineRule="auto"/>
        <w:ind w:left="-241" w:firstLine="422" w:firstLineChars="200"/>
        <w:jc w:val="both"/>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6.安全准入承诺函</w:t>
      </w:r>
    </w:p>
    <w:p>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eastAsia="zh-CN"/>
        </w:rPr>
        <w:t>宁波</w:t>
      </w:r>
      <w:r>
        <w:rPr>
          <w:rFonts w:hint="eastAsia" w:ascii="宋体" w:hAnsi="宋体" w:cs="宋体"/>
          <w:b/>
          <w:bCs/>
          <w:color w:val="auto"/>
          <w:kern w:val="0"/>
          <w:sz w:val="28"/>
          <w:szCs w:val="28"/>
          <w:highlight w:val="none"/>
          <w:lang w:val="en-US" w:eastAsia="zh-CN"/>
        </w:rPr>
        <w:t>油港轮驳有限公司</w:t>
      </w:r>
      <w:r>
        <w:rPr>
          <w:rFonts w:hint="eastAsia" w:ascii="宋体" w:hAnsi="宋体" w:eastAsia="宋体" w:cs="宋体"/>
          <w:b/>
          <w:bCs/>
          <w:color w:val="auto"/>
          <w:kern w:val="0"/>
          <w:sz w:val="28"/>
          <w:szCs w:val="28"/>
          <w:highlight w:val="none"/>
          <w:lang w:eastAsia="zh-CN"/>
        </w:rPr>
        <w:t>：</w:t>
      </w:r>
    </w:p>
    <w:p>
      <w:pPr>
        <w:keepNext w:val="0"/>
        <w:keepLines w:val="0"/>
        <w:pageBreakBefore w:val="0"/>
        <w:widowControl w:val="0"/>
        <w:kinsoku/>
        <w:wordWrap/>
        <w:overflowPunct/>
        <w:topLinePunct w:val="0"/>
        <w:autoSpaceDE/>
        <w:autoSpaceDN/>
        <w:bidi w:val="0"/>
        <w:adjustRightInd/>
        <w:spacing w:line="360" w:lineRule="auto"/>
        <w:ind w:left="-29" w:leftChars="-14" w:firstLine="447" w:firstLineChars="213"/>
        <w:textAlignment w:val="auto"/>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eastAsia="zh-CN"/>
        </w:rPr>
        <w:t>本司参与宁波</w:t>
      </w:r>
      <w:r>
        <w:rPr>
          <w:rFonts w:hint="eastAsia" w:ascii="宋体" w:hAnsi="宋体" w:cs="宋体"/>
          <w:b w:val="0"/>
          <w:bCs w:val="0"/>
          <w:color w:val="auto"/>
          <w:kern w:val="0"/>
          <w:sz w:val="21"/>
          <w:szCs w:val="21"/>
          <w:highlight w:val="none"/>
          <w:lang w:val="en-US" w:eastAsia="zh-CN"/>
        </w:rPr>
        <w:t>油港轮驳有限公司甬港拖33轮厂修</w:t>
      </w:r>
      <w:r>
        <w:rPr>
          <w:rFonts w:hint="eastAsia" w:ascii="宋体" w:hAnsi="宋体" w:eastAsia="宋体" w:cs="宋体"/>
          <w:b w:val="0"/>
          <w:bCs w:val="0"/>
          <w:color w:val="auto"/>
          <w:kern w:val="0"/>
          <w:sz w:val="21"/>
          <w:szCs w:val="21"/>
          <w:highlight w:val="none"/>
          <w:lang w:eastAsia="zh-CN"/>
        </w:rPr>
        <w:t>项目的投标，就招标要求承诺如下：</w:t>
      </w:r>
    </w:p>
    <w:p>
      <w:pPr>
        <w:keepNext w:val="0"/>
        <w:keepLines w:val="0"/>
        <w:pageBreakBefore w:val="0"/>
        <w:widowControl w:val="0"/>
        <w:kinsoku/>
        <w:wordWrap/>
        <w:overflowPunct/>
        <w:topLinePunct w:val="0"/>
        <w:autoSpaceDE/>
        <w:autoSpaceDN/>
        <w:bidi w:val="0"/>
        <w:adjustRightInd/>
        <w:spacing w:line="360" w:lineRule="auto"/>
        <w:ind w:left="-29" w:leftChars="-14" w:firstLine="447" w:firstLineChars="213"/>
        <w:textAlignment w:val="auto"/>
        <w:rPr>
          <w:rFonts w:hint="eastAsia" w:ascii="宋体" w:hAnsi="宋体" w:cs="宋体"/>
          <w:color w:val="auto"/>
          <w:kern w:val="58"/>
          <w:sz w:val="21"/>
          <w:szCs w:val="21"/>
          <w:highlight w:val="none"/>
          <w:lang w:val="en-US" w:eastAsia="zh-CN"/>
        </w:rPr>
      </w:pPr>
      <w:r>
        <w:rPr>
          <w:rFonts w:hint="eastAsia" w:ascii="宋体" w:hAnsi="宋体" w:cs="宋体"/>
          <w:color w:val="auto"/>
          <w:kern w:val="58"/>
          <w:sz w:val="21"/>
          <w:szCs w:val="21"/>
          <w:highlight w:val="none"/>
          <w:lang w:val="en-US" w:eastAsia="zh-CN"/>
        </w:rPr>
        <w:t>1.有良好的行业口碑，无重大安全、质量事故记录。</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199"/>
        <w:textAlignment w:val="auto"/>
        <w:rPr>
          <w:rFonts w:hint="eastAsia" w:ascii="宋体" w:hAnsi="宋体" w:cs="宋体"/>
          <w:color w:val="auto"/>
          <w:kern w:val="58"/>
          <w:sz w:val="21"/>
          <w:szCs w:val="21"/>
          <w:highlight w:val="none"/>
          <w:lang w:val="en-US" w:eastAsia="zh-CN"/>
        </w:rPr>
      </w:pPr>
      <w:r>
        <w:rPr>
          <w:rFonts w:hint="eastAsia" w:ascii="宋体" w:hAnsi="宋体" w:cs="宋体"/>
          <w:color w:val="auto"/>
          <w:kern w:val="58"/>
          <w:sz w:val="21"/>
          <w:szCs w:val="21"/>
          <w:highlight w:val="none"/>
          <w:lang w:val="en-US" w:eastAsia="zh-CN"/>
        </w:rPr>
        <w:t>2.参与本项目作业人员具备一年以上相关作业资历（提供材料备查）。</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199"/>
        <w:textAlignment w:val="auto"/>
        <w:rPr>
          <w:rFonts w:hint="eastAsia" w:ascii="宋体" w:hAnsi="宋体" w:cs="宋体"/>
          <w:color w:val="auto"/>
          <w:kern w:val="58"/>
          <w:sz w:val="21"/>
          <w:szCs w:val="21"/>
          <w:highlight w:val="none"/>
          <w:lang w:val="en-US" w:eastAsia="zh-CN"/>
        </w:rPr>
      </w:pPr>
      <w:r>
        <w:rPr>
          <w:rFonts w:hint="eastAsia" w:ascii="宋体" w:hAnsi="宋体" w:cs="宋体"/>
          <w:color w:val="auto"/>
          <w:kern w:val="58"/>
          <w:sz w:val="21"/>
          <w:szCs w:val="21"/>
          <w:highlight w:val="none"/>
          <w:lang w:val="en-US" w:eastAsia="zh-CN"/>
        </w:rPr>
        <w:t>3.涉及特殊作业，如动火作业等具备相应资质证书。</w:t>
      </w:r>
    </w:p>
    <w:p>
      <w:pPr>
        <w:keepNext w:val="0"/>
        <w:keepLines w:val="0"/>
        <w:pageBreakBefore w:val="0"/>
        <w:widowControl w:val="0"/>
        <w:numPr>
          <w:ilvl w:val="0"/>
          <w:numId w:val="0"/>
        </w:numPr>
        <w:kinsoku/>
        <w:wordWrap/>
        <w:overflowPunct/>
        <w:topLinePunct w:val="0"/>
        <w:autoSpaceDE/>
        <w:autoSpaceDN/>
        <w:bidi w:val="0"/>
        <w:adjustRightInd/>
        <w:spacing w:line="360" w:lineRule="auto"/>
        <w:ind w:leftChars="199"/>
        <w:textAlignment w:val="auto"/>
        <w:rPr>
          <w:rFonts w:hint="default"/>
          <w:color w:val="auto"/>
          <w:highlight w:val="none"/>
          <w:lang w:val="en-US" w:eastAsia="zh-CN"/>
        </w:rPr>
      </w:pPr>
      <w:r>
        <w:rPr>
          <w:rFonts w:hint="eastAsia" w:ascii="宋体" w:hAnsi="宋体" w:cs="宋体"/>
          <w:color w:val="auto"/>
          <w:kern w:val="58"/>
          <w:sz w:val="21"/>
          <w:szCs w:val="21"/>
          <w:highlight w:val="none"/>
          <w:lang w:val="en-US" w:eastAsia="zh-CN"/>
        </w:rPr>
        <w:t>4.公司所承担业务外包范围内近3年内无1人死亡及以上安全生产责任事故（含劳务外包人员），未被列入安全生产严重失信主体名单。</w:t>
      </w: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left="-29" w:leftChars="-14" w:firstLine="237" w:firstLineChars="113"/>
        <w:textAlignment w:val="auto"/>
        <w:rPr>
          <w:rFonts w:hint="eastAsia" w:ascii="宋体" w:hAnsi="宋体" w:eastAsia="宋体" w:cs="宋体"/>
          <w:b w:val="0"/>
          <w:bCs w:val="0"/>
          <w:color w:val="auto"/>
          <w:kern w:val="0"/>
          <w:sz w:val="21"/>
          <w:szCs w:val="21"/>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27" w:leftChars="-13" w:firstLine="236" w:firstLineChars="112"/>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以上事项如有虚假或隐瞒，我方愿意承担一切后果，并不再寻求任何旨在减轻或免除法律责任的辩解。</w:t>
      </w:r>
    </w:p>
    <w:p>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color w:val="auto"/>
          <w:szCs w:val="21"/>
          <w:highlight w:val="none"/>
        </w:rPr>
      </w:pPr>
    </w:p>
    <w:p>
      <w:pPr>
        <w:keepNext w:val="0"/>
        <w:keepLines w:val="0"/>
        <w:pageBreakBefore w:val="0"/>
        <w:widowControl/>
        <w:kinsoku/>
        <w:wordWrap/>
        <w:overflowPunct/>
        <w:topLinePunct w:val="0"/>
        <w:autoSpaceDE/>
        <w:autoSpaceDN/>
        <w:bidi w:val="0"/>
        <w:adjustRightInd/>
        <w:snapToGrid w:val="0"/>
        <w:spacing w:line="360" w:lineRule="auto"/>
        <w:textAlignment w:val="auto"/>
        <w:rPr>
          <w:color w:val="auto"/>
          <w:szCs w:val="21"/>
          <w:highlight w:val="none"/>
          <w:u w:val="single"/>
        </w:rPr>
      </w:pPr>
      <w:r>
        <w:rPr>
          <w:rFonts w:hint="eastAsia"/>
          <w:color w:val="auto"/>
          <w:szCs w:val="21"/>
          <w:highlight w:val="none"/>
        </w:rPr>
        <w:t>投标人（盖公章）：</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p>
    <w:p>
      <w:pPr>
        <w:pageBreakBefore w:val="0"/>
        <w:kinsoku/>
        <w:wordWrap/>
        <w:overflowPunct/>
        <w:topLinePunct w:val="0"/>
        <w:bidi w:val="0"/>
        <w:spacing w:line="360" w:lineRule="auto"/>
        <w:textAlignment w:val="auto"/>
        <w:rPr>
          <w:color w:val="auto"/>
          <w:highlight w:val="none"/>
        </w:rPr>
      </w:pPr>
      <w:r>
        <w:rPr>
          <w:rFonts w:hint="eastAsia"/>
          <w:color w:val="auto"/>
          <w:szCs w:val="21"/>
          <w:highlight w:val="none"/>
        </w:rPr>
        <w:t>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rFonts w:hint="eastAsia"/>
          <w:color w:val="auto"/>
          <w:szCs w:val="21"/>
          <w:highlight w:val="none"/>
          <w:u w:val="single"/>
        </w:rPr>
        <w:t>年</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rFonts w:hint="eastAsia"/>
          <w:color w:val="auto"/>
          <w:szCs w:val="21"/>
          <w:highlight w:val="none"/>
          <w:u w:val="single"/>
        </w:rPr>
        <w:t>月</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r>
        <w:rPr>
          <w:rFonts w:hint="eastAsia" w:ascii="宋体" w:hAnsi="宋体" w:cs="宋体"/>
          <w:color w:val="auto"/>
          <w:szCs w:val="21"/>
          <w:highlight w:val="none"/>
        </w:rPr>
        <w:t>日</w:t>
      </w:r>
    </w:p>
    <w:p>
      <w:pPr>
        <w:keepNext w:val="0"/>
        <w:keepLines w:val="0"/>
        <w:pageBreakBefore w:val="0"/>
        <w:widowControl w:val="0"/>
        <w:kinsoku/>
        <w:wordWrap/>
        <w:overflowPunct/>
        <w:topLinePunct w:val="0"/>
        <w:autoSpaceDE/>
        <w:autoSpaceDN/>
        <w:bidi w:val="0"/>
        <w:adjustRightInd/>
        <w:snapToGrid/>
        <w:spacing w:before="156" w:beforeLines="50" w:line="360" w:lineRule="auto"/>
        <w:jc w:val="both"/>
        <w:textAlignment w:val="auto"/>
        <w:rPr>
          <w:rFonts w:hint="default" w:ascii="Times New Roman" w:hAnsi="Times New Roman" w:cs="Times New Roman"/>
          <w:color w:val="auto"/>
          <w:highlight w:val="none"/>
        </w:rPr>
      </w:pPr>
    </w:p>
    <w:p>
      <w:pPr>
        <w:pageBreakBefore w:val="0"/>
        <w:kinsoku/>
        <w:wordWrap/>
        <w:overflowPunct/>
        <w:topLinePunct w:val="0"/>
        <w:bidi w:val="0"/>
        <w:snapToGrid w:val="0"/>
        <w:spacing w:before="50" w:after="50" w:line="360" w:lineRule="auto"/>
        <w:ind w:left="-23" w:leftChars="-11" w:right="-113" w:rightChars="-54" w:firstLine="21" w:firstLineChars="10"/>
        <w:textAlignment w:val="auto"/>
        <w:rPr>
          <w:rFonts w:hint="default" w:ascii="Times New Roman" w:hAnsi="Times New Roman" w:cs="Times New Roman"/>
          <w:color w:val="auto"/>
          <w:szCs w:val="21"/>
          <w:highlight w:val="none"/>
        </w:rPr>
      </w:pPr>
    </w:p>
    <w:p>
      <w:pPr>
        <w:pageBreakBefore w:val="0"/>
        <w:kinsoku/>
        <w:wordWrap/>
        <w:overflowPunct/>
        <w:topLinePunct w:val="0"/>
        <w:bidi w:val="0"/>
        <w:spacing w:line="360" w:lineRule="auto"/>
        <w:textAlignment w:val="auto"/>
        <w:rPr>
          <w:color w:val="auto"/>
          <w:highlight w:val="none"/>
        </w:rPr>
      </w:pPr>
    </w:p>
    <w:p>
      <w:pPr>
        <w:rPr>
          <w:color w:val="auto"/>
          <w:highlight w:val="none"/>
        </w:rPr>
      </w:pPr>
    </w:p>
    <w:sectPr>
      <w:footerReference r:id="rId17" w:type="default"/>
      <w:pgSz w:w="11906" w:h="16838"/>
      <w:pgMar w:top="1440" w:right="1558"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8306"/>
      </w:tabs>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12"/>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v:shape>
          </w:pict>
        </mc:Fallback>
      </mc:AlternateContent>
    </w:r>
    <w:r>
      <w:rPr>
        <w:rFonts w:hint="eastAsia"/>
      </w:rPr>
      <w:tab/>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8306"/>
      </w:tabs>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w:t>
                    </w:r>
                    <w:r>
                      <w:fldChar w:fldCharType="end"/>
                    </w:r>
                  </w:p>
                </w:txbxContent>
              </v:textbox>
            </v:shape>
          </w:pict>
        </mc:Fallback>
      </mc:AlternateContent>
    </w:r>
  </w:p>
  <w:p>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119" w:firstLine="360"/>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8306"/>
      </w:tabs>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79</w:t>
                    </w:r>
                    <w:r>
                      <w:fldChar w:fldCharType="end"/>
                    </w:r>
                  </w:p>
                </w:txbxContent>
              </v:textbox>
            </v:shape>
          </w:pict>
        </mc:Fallback>
      </mc:AlternateContent>
    </w:r>
    <w:r>
      <w:rPr>
        <w:rFonts w:hint="eastAsia"/>
      </w:rPr>
      <w:t xml:space="preserve">  </w:t>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B14FF6"/>
    <w:multiLevelType w:val="singleLevel"/>
    <w:tmpl w:val="97B14FF6"/>
    <w:lvl w:ilvl="0" w:tentative="0">
      <w:start w:val="2"/>
      <w:numFmt w:val="decimal"/>
      <w:suff w:val="nothing"/>
      <w:lvlText w:val="%1、"/>
      <w:lvlJc w:val="left"/>
    </w:lvl>
  </w:abstractNum>
  <w:abstractNum w:abstractNumId="1">
    <w:nsid w:val="00000001"/>
    <w:multiLevelType w:val="singleLevel"/>
    <w:tmpl w:val="00000001"/>
    <w:lvl w:ilvl="0" w:tentative="0">
      <w:start w:val="1"/>
      <w:numFmt w:val="chineseCounting"/>
      <w:suff w:val="nothing"/>
      <w:lvlText w:val="%1、"/>
      <w:lvlJc w:val="left"/>
    </w:lvl>
  </w:abstractNum>
  <w:abstractNum w:abstractNumId="2">
    <w:nsid w:val="34FD0CEA"/>
    <w:multiLevelType w:val="singleLevel"/>
    <w:tmpl w:val="34FD0CEA"/>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643A5"/>
    <w:rsid w:val="048A0CDD"/>
    <w:rsid w:val="057002FA"/>
    <w:rsid w:val="05B6276B"/>
    <w:rsid w:val="095434D4"/>
    <w:rsid w:val="0AE75CA0"/>
    <w:rsid w:val="0B3031AC"/>
    <w:rsid w:val="0B6A1622"/>
    <w:rsid w:val="123C58FA"/>
    <w:rsid w:val="13AD7CBC"/>
    <w:rsid w:val="14105384"/>
    <w:rsid w:val="16283F94"/>
    <w:rsid w:val="1A4068C7"/>
    <w:rsid w:val="1A5353E8"/>
    <w:rsid w:val="1D151B16"/>
    <w:rsid w:val="1D212EE5"/>
    <w:rsid w:val="1DAF0A28"/>
    <w:rsid w:val="1E9270DF"/>
    <w:rsid w:val="1FAE6340"/>
    <w:rsid w:val="22F071EA"/>
    <w:rsid w:val="23D33E51"/>
    <w:rsid w:val="2ACA7778"/>
    <w:rsid w:val="2C654CF9"/>
    <w:rsid w:val="2C811A48"/>
    <w:rsid w:val="2D30472D"/>
    <w:rsid w:val="312C033C"/>
    <w:rsid w:val="31A72DC7"/>
    <w:rsid w:val="335C02D0"/>
    <w:rsid w:val="34C96BA9"/>
    <w:rsid w:val="35ED6B6C"/>
    <w:rsid w:val="3A31554E"/>
    <w:rsid w:val="3D7177B4"/>
    <w:rsid w:val="42447AA7"/>
    <w:rsid w:val="43806C1A"/>
    <w:rsid w:val="442561D0"/>
    <w:rsid w:val="461E677A"/>
    <w:rsid w:val="47C31256"/>
    <w:rsid w:val="497F68E2"/>
    <w:rsid w:val="4A25701C"/>
    <w:rsid w:val="4A344477"/>
    <w:rsid w:val="4C393366"/>
    <w:rsid w:val="4CB066F8"/>
    <w:rsid w:val="4E0824B1"/>
    <w:rsid w:val="4FA73688"/>
    <w:rsid w:val="50436950"/>
    <w:rsid w:val="50C80E85"/>
    <w:rsid w:val="56E26F1A"/>
    <w:rsid w:val="570064CA"/>
    <w:rsid w:val="57762606"/>
    <w:rsid w:val="5999312B"/>
    <w:rsid w:val="5A5A6258"/>
    <w:rsid w:val="5A685F45"/>
    <w:rsid w:val="5B6C3746"/>
    <w:rsid w:val="5E8B3ADA"/>
    <w:rsid w:val="5EEC57DF"/>
    <w:rsid w:val="5F8E0931"/>
    <w:rsid w:val="60746A4B"/>
    <w:rsid w:val="60C752B2"/>
    <w:rsid w:val="60D7326D"/>
    <w:rsid w:val="69755248"/>
    <w:rsid w:val="71940698"/>
    <w:rsid w:val="71E35B6C"/>
    <w:rsid w:val="72792E26"/>
    <w:rsid w:val="736827E7"/>
    <w:rsid w:val="74091F02"/>
    <w:rsid w:val="75506EAD"/>
    <w:rsid w:val="79687DA0"/>
    <w:rsid w:val="7ADD5F0F"/>
    <w:rsid w:val="7BEA2C46"/>
    <w:rsid w:val="7BED24FB"/>
    <w:rsid w:val="7CAC088E"/>
    <w:rsid w:val="7D064499"/>
    <w:rsid w:val="7D547936"/>
    <w:rsid w:val="7E2542AE"/>
    <w:rsid w:val="7E803B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1044"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napToGrid w:val="0"/>
      <w:spacing w:line="360" w:lineRule="auto"/>
      <w:ind w:firstLine="0" w:firstLineChars="0"/>
      <w:jc w:val="center"/>
      <w:outlineLvl w:val="0"/>
    </w:pPr>
    <w:rPr>
      <w:b/>
      <w:bCs/>
      <w:kern w:val="44"/>
      <w:sz w:val="30"/>
      <w:szCs w:val="44"/>
    </w:rPr>
  </w:style>
  <w:style w:type="paragraph" w:styleId="4">
    <w:name w:val="heading 2"/>
    <w:basedOn w:val="1"/>
    <w:next w:val="1"/>
    <w:qFormat/>
    <w:uiPriority w:val="0"/>
    <w:pPr>
      <w:snapToGrid w:val="0"/>
      <w:spacing w:before="50" w:beforeLines="50"/>
      <w:ind w:firstLine="0" w:firstLineChars="0"/>
      <w:jc w:val="both"/>
      <w:outlineLvl w:val="1"/>
    </w:pPr>
    <w:rPr>
      <w:rFonts w:ascii="Times New Roman" w:hAnsi="Times New Roman"/>
      <w:b/>
      <w:color w:val="000000"/>
      <w:sz w:val="24"/>
      <w:szCs w:val="21"/>
    </w:rPr>
  </w:style>
  <w:style w:type="paragraph" w:styleId="5">
    <w:name w:val="heading 3"/>
    <w:basedOn w:val="1"/>
    <w:next w:val="1"/>
    <w:qFormat/>
    <w:uiPriority w:val="0"/>
    <w:pPr>
      <w:keepNext/>
      <w:keepLines/>
      <w:spacing w:line="360" w:lineRule="auto"/>
      <w:outlineLvl w:val="2"/>
    </w:pPr>
    <w:rPr>
      <w:rFonts w:ascii="Times New Roman" w:hAnsi="Times New Roman"/>
      <w:b/>
      <w:kern w:val="0"/>
      <w:sz w:val="21"/>
    </w:rPr>
  </w:style>
  <w:style w:type="paragraph" w:styleId="6">
    <w:name w:val="heading 4"/>
    <w:basedOn w:val="1"/>
    <w:next w:val="1"/>
    <w:qFormat/>
    <w:uiPriority w:val="0"/>
    <w:pPr>
      <w:keepNext/>
      <w:keepLines/>
      <w:spacing w:line="360" w:lineRule="auto"/>
      <w:outlineLvl w:val="3"/>
    </w:pPr>
    <w:rPr>
      <w:rFonts w:ascii="Times New Roman" w:hAnsi="Times New Roman" w:eastAsia="宋体"/>
      <w:b/>
      <w:bCs/>
      <w:kern w:val="0"/>
      <w:sz w:val="21"/>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lock Text"/>
    <w:basedOn w:val="1"/>
    <w:next w:val="1"/>
    <w:qFormat/>
    <w:uiPriority w:val="0"/>
    <w:pPr>
      <w:adjustRightInd w:val="0"/>
      <w:spacing w:line="300" w:lineRule="auto"/>
      <w:ind w:left="958" w:right="-120" w:rightChars="-120"/>
      <w:jc w:val="left"/>
    </w:pPr>
    <w:rPr>
      <w:rFonts w:ascii="宋体" w:hAnsi="宋体"/>
      <w:sz w:val="28"/>
    </w:rPr>
  </w:style>
  <w:style w:type="paragraph" w:styleId="7">
    <w:name w:val="annotation text"/>
    <w:basedOn w:val="1"/>
    <w:unhideWhenUsed/>
    <w:qFormat/>
    <w:uiPriority w:val="99"/>
    <w:pPr>
      <w:jc w:val="left"/>
    </w:pPr>
    <w:rPr>
      <w:kern w:val="0"/>
      <w:sz w:val="20"/>
    </w:rPr>
  </w:style>
  <w:style w:type="paragraph" w:styleId="8">
    <w:name w:val="Body Text"/>
    <w:basedOn w:val="1"/>
    <w:next w:val="9"/>
    <w:qFormat/>
    <w:uiPriority w:val="0"/>
    <w:pPr>
      <w:spacing w:after="120"/>
    </w:pPr>
    <w:rPr>
      <w:kern w:val="0"/>
      <w:sz w:val="28"/>
    </w:rPr>
  </w:style>
  <w:style w:type="paragraph" w:styleId="9">
    <w:name w:val="Body Text First Indent"/>
    <w:basedOn w:val="8"/>
    <w:next w:val="1"/>
    <w:qFormat/>
    <w:uiPriority w:val="99"/>
    <w:pPr>
      <w:adjustRightInd/>
      <w:spacing w:after="120" w:line="240" w:lineRule="auto"/>
      <w:ind w:firstLine="420" w:firstLineChars="100"/>
      <w:jc w:val="both"/>
      <w:textAlignment w:val="auto"/>
    </w:pPr>
    <w:rPr>
      <w:rFonts w:ascii="Times New Roman" w:eastAsia="宋体"/>
      <w:kern w:val="2"/>
      <w:sz w:val="21"/>
    </w:rPr>
  </w:style>
  <w:style w:type="paragraph" w:styleId="10">
    <w:name w:val="Body Text Indent"/>
    <w:basedOn w:val="1"/>
    <w:next w:val="1"/>
    <w:qFormat/>
    <w:uiPriority w:val="0"/>
    <w:pPr>
      <w:spacing w:line="200" w:lineRule="exact"/>
      <w:ind w:firstLine="301"/>
    </w:pPr>
    <w:rPr>
      <w:rFonts w:hint="eastAsia" w:ascii="宋体" w:hAnsi="Courier New" w:cs="宋体"/>
      <w:spacing w:val="-4"/>
      <w:sz w:val="18"/>
      <w:szCs w:val="20"/>
    </w:rPr>
  </w:style>
  <w:style w:type="paragraph" w:styleId="11">
    <w:name w:val="Plain Text"/>
    <w:basedOn w:val="1"/>
    <w:next w:val="8"/>
    <w:qFormat/>
    <w:uiPriority w:val="0"/>
    <w:pPr>
      <w:spacing w:beforeLines="50" w:afterLines="50" w:line="400" w:lineRule="exact"/>
    </w:pPr>
    <w:rPr>
      <w:rFonts w:hint="eastAsia" w:ascii="宋体" w:hAnsi="Courier New" w:cs="宋体"/>
      <w:sz w:val="24"/>
    </w:rPr>
  </w:style>
  <w:style w:type="paragraph" w:styleId="12">
    <w:name w:val="footer"/>
    <w:basedOn w:val="1"/>
    <w:qFormat/>
    <w:uiPriority w:val="99"/>
    <w:pPr>
      <w:tabs>
        <w:tab w:val="center" w:pos="4153"/>
        <w:tab w:val="right" w:pos="8306"/>
      </w:tabs>
      <w:snapToGrid w:val="0"/>
      <w:jc w:val="left"/>
    </w:pPr>
    <w:rPr>
      <w:rFonts w:eastAsia="黑体"/>
      <w:kern w:val="0"/>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eastAsia="仿宋_GB2312"/>
      <w:kern w:val="0"/>
      <w:sz w:val="18"/>
      <w:szCs w:val="20"/>
    </w:rPr>
  </w:style>
  <w:style w:type="paragraph" w:styleId="14">
    <w:name w:val="toc 1"/>
    <w:basedOn w:val="1"/>
    <w:next w:val="1"/>
    <w:qFormat/>
    <w:uiPriority w:val="39"/>
    <w:pPr>
      <w:ind w:firstLine="0" w:firstLineChars="0"/>
      <w:jc w:val="center"/>
    </w:pPr>
    <w:rPr>
      <w:rFonts w:ascii="Times New Roman" w:hAnsi="Times New Roman" w:eastAsia="宋体"/>
      <w:b/>
      <w:sz w:val="28"/>
    </w:rPr>
  </w:style>
  <w:style w:type="paragraph" w:styleId="15">
    <w:name w:val="Body Text First Indent 2"/>
    <w:basedOn w:val="10"/>
    <w:next w:val="1"/>
    <w:unhideWhenUsed/>
    <w:qFormat/>
    <w:uiPriority w:val="99"/>
    <w:pPr>
      <w:spacing w:after="120" w:line="240" w:lineRule="auto"/>
      <w:ind w:left="420" w:leftChars="200" w:firstLine="420" w:firstLineChars="200"/>
    </w:pPr>
    <w:rPr>
      <w:rFonts w:hint="default" w:ascii="Times New Roman" w:hAnsi="Times New Roman" w:cs="Times New Roman"/>
      <w:spacing w:val="0"/>
      <w:sz w:val="21"/>
      <w:szCs w:val="24"/>
      <w:lang w:val="en-US" w:eastAsia="zh-CN"/>
    </w:rPr>
  </w:style>
  <w:style w:type="character" w:customStyle="1" w:styleId="18">
    <w:name w:val="font61"/>
    <w:basedOn w:val="17"/>
    <w:qFormat/>
    <w:uiPriority w:val="0"/>
    <w:rPr>
      <w:rFonts w:hint="eastAsia" w:ascii="宋体" w:hAnsi="宋体" w:eastAsia="宋体" w:cs="宋体"/>
      <w:color w:val="000000"/>
      <w:sz w:val="22"/>
      <w:szCs w:val="22"/>
      <w:u w:val="none"/>
    </w:rPr>
  </w:style>
  <w:style w:type="character" w:customStyle="1" w:styleId="19">
    <w:name w:val="font51"/>
    <w:basedOn w:val="17"/>
    <w:qFormat/>
    <w:uiPriority w:val="0"/>
    <w:rPr>
      <w:rFonts w:hint="eastAsia" w:ascii="宋体" w:hAnsi="宋体" w:eastAsia="宋体" w:cs="宋体"/>
      <w:b/>
      <w:bCs/>
      <w:color w:val="000000"/>
      <w:sz w:val="22"/>
      <w:szCs w:val="22"/>
      <w:u w:val="none"/>
    </w:rPr>
  </w:style>
  <w:style w:type="character" w:customStyle="1" w:styleId="20">
    <w:name w:val="font121"/>
    <w:basedOn w:val="17"/>
    <w:qFormat/>
    <w:uiPriority w:val="0"/>
    <w:rPr>
      <w:rFonts w:hint="eastAsia" w:ascii="宋体" w:hAnsi="宋体" w:eastAsia="宋体" w:cs="宋体"/>
      <w:color w:val="000000"/>
      <w:sz w:val="24"/>
      <w:szCs w:val="24"/>
      <w:u w:val="none"/>
      <w:vertAlign w:val="superscript"/>
    </w:rPr>
  </w:style>
  <w:style w:type="character" w:customStyle="1" w:styleId="21">
    <w:name w:val="font131"/>
    <w:basedOn w:val="17"/>
    <w:qFormat/>
    <w:uiPriority w:val="0"/>
    <w:rPr>
      <w:rFonts w:hint="eastAsia" w:ascii="宋体" w:hAnsi="宋体" w:eastAsia="宋体" w:cs="宋体"/>
      <w:color w:val="000000"/>
      <w:sz w:val="28"/>
      <w:szCs w:val="28"/>
      <w:u w:val="none"/>
      <w:vertAlign w:val="superscript"/>
    </w:rPr>
  </w:style>
  <w:style w:type="character" w:customStyle="1" w:styleId="22">
    <w:name w:val="font141"/>
    <w:basedOn w:val="17"/>
    <w:qFormat/>
    <w:uiPriority w:val="0"/>
    <w:rPr>
      <w:rFonts w:ascii="Calibri" w:hAnsi="Calibri" w:cs="Calibri"/>
      <w:color w:val="000000"/>
      <w:sz w:val="22"/>
      <w:szCs w:val="22"/>
      <w:u w:val="none"/>
    </w:rPr>
  </w:style>
  <w:style w:type="character" w:customStyle="1" w:styleId="23">
    <w:name w:val="font151"/>
    <w:basedOn w:val="17"/>
    <w:qFormat/>
    <w:uiPriority w:val="0"/>
    <w:rPr>
      <w:rFonts w:hint="eastAsia" w:ascii="宋体" w:hAnsi="宋体" w:eastAsia="宋体" w:cs="宋体"/>
      <w:color w:val="000000"/>
      <w:sz w:val="22"/>
      <w:szCs w:val="22"/>
      <w:u w:val="single"/>
    </w:rPr>
  </w:style>
  <w:style w:type="character" w:customStyle="1" w:styleId="24">
    <w:name w:val="font161"/>
    <w:basedOn w:val="17"/>
    <w:qFormat/>
    <w:uiPriority w:val="0"/>
    <w:rPr>
      <w:rFonts w:hint="eastAsia" w:ascii="宋体" w:hAnsi="宋体" w:eastAsia="宋体" w:cs="宋体"/>
      <w:color w:val="000000"/>
      <w:sz w:val="22"/>
      <w:szCs w:val="22"/>
      <w:u w:val="none"/>
      <w:vertAlign w:val="superscript"/>
    </w:rPr>
  </w:style>
  <w:style w:type="character" w:customStyle="1" w:styleId="25">
    <w:name w:val="font171"/>
    <w:basedOn w:val="17"/>
    <w:qFormat/>
    <w:uiPriority w:val="0"/>
    <w:rPr>
      <w:rFonts w:hint="default" w:ascii="Calibri" w:hAnsi="Calibri" w:cs="Calibri"/>
      <w:color w:val="000000"/>
      <w:sz w:val="22"/>
      <w:szCs w:val="22"/>
      <w:u w:val="none"/>
    </w:rPr>
  </w:style>
  <w:style w:type="character" w:customStyle="1" w:styleId="26">
    <w:name w:val="font91"/>
    <w:basedOn w:val="17"/>
    <w:qFormat/>
    <w:uiPriority w:val="0"/>
    <w:rPr>
      <w:rFonts w:hint="eastAsia" w:ascii="宋体" w:hAnsi="宋体" w:eastAsia="宋体" w:cs="宋体"/>
      <w:color w:val="000000"/>
      <w:sz w:val="21"/>
      <w:szCs w:val="21"/>
      <w:u w:val="none"/>
    </w:rPr>
  </w:style>
  <w:style w:type="character" w:customStyle="1" w:styleId="27">
    <w:name w:val="font112"/>
    <w:basedOn w:val="17"/>
    <w:qFormat/>
    <w:uiPriority w:val="0"/>
    <w:rPr>
      <w:rFonts w:hint="default" w:ascii="Calibri" w:hAnsi="Calibri" w:cs="Calibri"/>
      <w:color w:val="000000"/>
      <w:sz w:val="21"/>
      <w:szCs w:val="21"/>
      <w:u w:val="none"/>
    </w:rPr>
  </w:style>
  <w:style w:type="character" w:customStyle="1" w:styleId="28">
    <w:name w:val="font181"/>
    <w:basedOn w:val="17"/>
    <w:qFormat/>
    <w:uiPriority w:val="0"/>
    <w:rPr>
      <w:rFonts w:hint="default" w:ascii="Calibri" w:hAnsi="Calibri" w:cs="Calibri"/>
      <w:color w:val="000000"/>
      <w:sz w:val="22"/>
      <w:szCs w:val="22"/>
      <w:u w:val="none"/>
    </w:rPr>
  </w:style>
  <w:style w:type="character" w:customStyle="1" w:styleId="29">
    <w:name w:val="font101"/>
    <w:basedOn w:val="17"/>
    <w:qFormat/>
    <w:uiPriority w:val="0"/>
    <w:rPr>
      <w:rFonts w:hint="default" w:ascii="Times New Roman" w:hAnsi="Times New Roman" w:cs="Times New Roman"/>
      <w:color w:val="000000"/>
      <w:sz w:val="14"/>
      <w:szCs w:val="14"/>
      <w:u w:val="none"/>
    </w:rPr>
  </w:style>
  <w:style w:type="paragraph" w:customStyle="1" w:styleId="30">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2026-01-20T00:28:00Z</dcterms:created>
  <dc:creator>caiwu</dc:creator>
  <cp:lastModifiedBy>刘浩然</cp:lastModifiedBy>
  <dcterms:modified xsi:type="dcterms:W3CDTF">2026-01-30T02:46:09Z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EF78DDD788884E9095571365088C9335</vt:lpwstr>
  </property>
</Properties>
</file>